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876C" w14:textId="77777777" w:rsidR="00F75DF7" w:rsidRPr="00EC7333" w:rsidRDefault="00F75DF7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14:paraId="29B0034B" w14:textId="378DEE6E" w:rsidR="00F75DF7" w:rsidRPr="00EC7333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LISТ</w:t>
      </w:r>
      <w:r>
        <w:rPr>
          <w:rFonts w:ascii="Arial" w:hAnsi="Arial"/>
          <w:b/>
          <w:spacing w:val="9"/>
          <w:sz w:val="28"/>
          <w:szCs w:val="28"/>
        </w:rPr>
        <w:t xml:space="preserve"> </w:t>
      </w:r>
    </w:p>
    <w:p w14:paraId="607B170B" w14:textId="77777777" w:rsidR="00F75DF7" w:rsidRPr="00EC7333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OF REPRESENTATIVE SERVICES LINKED TO A PAYMENT ACCOUNT FOR CONSUMERS</w:t>
      </w:r>
    </w:p>
    <w:p w14:paraId="6D2FEB6E" w14:textId="77777777" w:rsidR="00F75DF7" w:rsidRPr="00EC7333" w:rsidRDefault="00F75DF7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6267C8CE" w14:textId="77777777" w:rsidR="00FA5A79" w:rsidRPr="00EC7333" w:rsidRDefault="00FA5A79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428F6B9D" w14:textId="77777777" w:rsidR="00CA7264" w:rsidRPr="00EC7333" w:rsidRDefault="00CA7264" w:rsidP="00540EB2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386"/>
      </w:tblGrid>
      <w:tr w:rsidR="000542C6" w:rsidRPr="00EC7333" w14:paraId="1322AAD0" w14:textId="77777777">
        <w:trPr>
          <w:trHeight w:val="552"/>
        </w:trPr>
        <w:tc>
          <w:tcPr>
            <w:tcW w:w="993" w:type="dxa"/>
          </w:tcPr>
          <w:p w14:paraId="13204BA4" w14:textId="77777777" w:rsidR="000542C6" w:rsidRPr="00EC7333" w:rsidRDefault="00EC7333" w:rsidP="009070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3402" w:type="dxa"/>
            <w:vAlign w:val="center"/>
          </w:tcPr>
          <w:p w14:paraId="590291BE" w14:textId="77777777" w:rsidR="000542C6" w:rsidRPr="00EC7333" w:rsidRDefault="000542C6" w:rsidP="0054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Type of service</w:t>
            </w:r>
          </w:p>
        </w:tc>
        <w:tc>
          <w:tcPr>
            <w:tcW w:w="5386" w:type="dxa"/>
            <w:vAlign w:val="center"/>
          </w:tcPr>
          <w:p w14:paraId="529E0495" w14:textId="77777777" w:rsidR="000542C6" w:rsidRPr="00EC7333" w:rsidRDefault="000542C6" w:rsidP="0054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Definition </w:t>
            </w:r>
          </w:p>
        </w:tc>
      </w:tr>
      <w:tr w:rsidR="000542C6" w:rsidRPr="005A10EE" w14:paraId="37E897B5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33FFA982" w14:textId="77777777" w:rsidR="000542C6" w:rsidRPr="00EC7333" w:rsidRDefault="00E4492D" w:rsidP="0047196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vAlign w:val="center"/>
          </w:tcPr>
          <w:p w14:paraId="72169FB0" w14:textId="77777777" w:rsidR="000542C6" w:rsidRPr="00EC7333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Payment account keeping</w:t>
            </w:r>
          </w:p>
        </w:tc>
        <w:tc>
          <w:tcPr>
            <w:tcW w:w="5386" w:type="dxa"/>
            <w:vAlign w:val="center"/>
          </w:tcPr>
          <w:p w14:paraId="68F91D5E" w14:textId="2987D1D6" w:rsidR="000542C6" w:rsidRPr="00EC7333" w:rsidRDefault="00741E70" w:rsidP="002318C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payment service provider shall keep the payment account of the consumer in accordance with the agreement</w:t>
            </w:r>
            <w:r w:rsidR="00C47B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so as to </w:t>
            </w:r>
            <w:r w:rsidR="002318C6">
              <w:rPr>
                <w:rFonts w:ascii="Arial" w:hAnsi="Arial"/>
              </w:rPr>
              <w:t xml:space="preserve">enable </w:t>
            </w:r>
            <w:r>
              <w:rPr>
                <w:rFonts w:ascii="Arial" w:hAnsi="Arial"/>
              </w:rPr>
              <w:t>the consumer to use funds in that payment account and services linked to that account.</w:t>
            </w:r>
          </w:p>
        </w:tc>
      </w:tr>
      <w:tr w:rsidR="000542C6" w:rsidRPr="005A10EE" w14:paraId="4188AD68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7110DE8E" w14:textId="77777777" w:rsidR="000542C6" w:rsidRPr="00EC7333" w:rsidRDefault="00E4492D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  <w:vAlign w:val="center"/>
          </w:tcPr>
          <w:p w14:paraId="2F36EBB1" w14:textId="77777777" w:rsidR="000542C6" w:rsidRPr="00EC7333" w:rsidRDefault="00DC3A1B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Cashless transfer of dinar funds in the Republic of Serbia</w:t>
            </w:r>
          </w:p>
        </w:tc>
        <w:tc>
          <w:tcPr>
            <w:tcW w:w="5386" w:type="dxa"/>
            <w:vAlign w:val="center"/>
          </w:tcPr>
          <w:p w14:paraId="68FCB3C0" w14:textId="77777777" w:rsidR="000542C6" w:rsidRPr="00EC7333" w:rsidRDefault="00EC7333" w:rsidP="00DC3A1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payer shall initiate with its payment service provider the transfer of dinar funds from its payment account to the account of the payee. </w:t>
            </w:r>
          </w:p>
        </w:tc>
      </w:tr>
      <w:tr w:rsidR="00BC3758" w:rsidRPr="005A10EE" w14:paraId="3D779F8E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337154C2" w14:textId="77777777" w:rsidR="00BC3758" w:rsidRPr="00EC7333" w:rsidRDefault="0038012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02" w:type="dxa"/>
            <w:vAlign w:val="center"/>
          </w:tcPr>
          <w:p w14:paraId="1DCD787C" w14:textId="5A89CE9D" w:rsidR="00BC3758" w:rsidRPr="00EC7333" w:rsidRDefault="00BC3758" w:rsidP="009070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Cashless transfer of euro funds from </w:t>
            </w:r>
            <w:r w:rsidR="006C572C">
              <w:rPr>
                <w:rFonts w:ascii="Arial" w:hAnsi="Arial"/>
              </w:rPr>
              <w:t xml:space="preserve">the </w:t>
            </w:r>
            <w:r w:rsidR="009070CF">
              <w:rPr>
                <w:rFonts w:ascii="Arial" w:hAnsi="Arial"/>
              </w:rPr>
              <w:t>FX</w:t>
            </w:r>
            <w:r w:rsidR="00C47B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current account</w:t>
            </w:r>
            <w:r w:rsidR="009070CF">
              <w:rPr>
                <w:rFonts w:ascii="Arial" w:hAnsi="Arial"/>
              </w:rPr>
              <w:t xml:space="preserve"> in euro</w:t>
            </w:r>
            <w:r w:rsidR="00C47B4C">
              <w:rPr>
                <w:rFonts w:ascii="Arial" w:hAnsi="Arial"/>
              </w:rPr>
              <w:t>s</w:t>
            </w:r>
          </w:p>
        </w:tc>
        <w:tc>
          <w:tcPr>
            <w:tcW w:w="5386" w:type="dxa"/>
            <w:vAlign w:val="center"/>
          </w:tcPr>
          <w:p w14:paraId="6E93F700" w14:textId="73C84F00" w:rsidR="00BC3758" w:rsidRPr="00EC7333" w:rsidRDefault="00EC7333" w:rsidP="00C47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payer shall initiate with its payment service provider the transfer of euro funds from its </w:t>
            </w:r>
            <w:r w:rsidR="009070CF">
              <w:rPr>
                <w:rFonts w:ascii="Arial" w:hAnsi="Arial"/>
              </w:rPr>
              <w:t>FX</w:t>
            </w:r>
            <w:r w:rsidR="006C572C">
              <w:rPr>
                <w:rFonts w:ascii="Arial" w:hAnsi="Arial"/>
              </w:rPr>
              <w:t xml:space="preserve"> </w:t>
            </w:r>
            <w:r w:rsidR="009070CF">
              <w:rPr>
                <w:rFonts w:ascii="Arial" w:hAnsi="Arial"/>
              </w:rPr>
              <w:t>current</w:t>
            </w:r>
            <w:r>
              <w:rPr>
                <w:rFonts w:ascii="Arial" w:hAnsi="Arial"/>
              </w:rPr>
              <w:t xml:space="preserve"> account </w:t>
            </w:r>
            <w:r w:rsidR="009070CF">
              <w:rPr>
                <w:rFonts w:ascii="Arial" w:hAnsi="Arial"/>
              </w:rPr>
              <w:t>in euro</w:t>
            </w:r>
            <w:r w:rsidR="00C47B4C">
              <w:rPr>
                <w:rFonts w:ascii="Arial" w:hAnsi="Arial"/>
              </w:rPr>
              <w:t>s</w:t>
            </w:r>
            <w:r w:rsidR="009070C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to the account of the payee.</w:t>
            </w:r>
          </w:p>
        </w:tc>
      </w:tr>
      <w:tr w:rsidR="008A2DA8" w:rsidRPr="005A10EE" w14:paraId="4E0FA0FE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3130DB49" w14:textId="77777777" w:rsidR="008A2DA8" w:rsidRPr="00EC7333" w:rsidRDefault="0038012A" w:rsidP="00E70E8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02" w:type="dxa"/>
            <w:vAlign w:val="center"/>
          </w:tcPr>
          <w:p w14:paraId="3A594B0C" w14:textId="143C338C" w:rsidR="008A2DA8" w:rsidRPr="00EC7333" w:rsidRDefault="00C47B4C" w:rsidP="00C47B4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t>R</w:t>
            </w:r>
            <w:r w:rsidR="008A2DA8">
              <w:rPr>
                <w:rFonts w:ascii="Arial" w:hAnsi="Arial"/>
              </w:rPr>
              <w:t xml:space="preserve">eceipt of funds from abroad to the </w:t>
            </w:r>
            <w:r w:rsidR="009070CF">
              <w:rPr>
                <w:rFonts w:ascii="Arial" w:hAnsi="Arial"/>
              </w:rPr>
              <w:t>FX</w:t>
            </w:r>
            <w:r>
              <w:rPr>
                <w:rFonts w:ascii="Arial" w:hAnsi="Arial"/>
              </w:rPr>
              <w:t xml:space="preserve"> </w:t>
            </w:r>
            <w:r w:rsidR="009070CF">
              <w:rPr>
                <w:rFonts w:ascii="Arial" w:hAnsi="Arial"/>
              </w:rPr>
              <w:t>current</w:t>
            </w:r>
            <w:r w:rsidR="008A2DA8">
              <w:rPr>
                <w:rFonts w:ascii="Arial" w:hAnsi="Arial"/>
              </w:rPr>
              <w:t xml:space="preserve"> account in euro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5386" w:type="dxa"/>
            <w:vAlign w:val="center"/>
          </w:tcPr>
          <w:p w14:paraId="0EA0E8CC" w14:textId="52E36A41" w:rsidR="008A2DA8" w:rsidRPr="00EC7333" w:rsidRDefault="002D13D1" w:rsidP="00C47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credit </w:t>
            </w:r>
            <w:r w:rsidR="00C47B4C">
              <w:rPr>
                <w:rFonts w:ascii="Arial" w:hAnsi="Arial"/>
              </w:rPr>
              <w:t xml:space="preserve">euro </w:t>
            </w:r>
            <w:r>
              <w:rPr>
                <w:rFonts w:ascii="Arial" w:hAnsi="Arial"/>
              </w:rPr>
              <w:t xml:space="preserve">funds to the </w:t>
            </w:r>
            <w:r w:rsidR="009070CF">
              <w:rPr>
                <w:rFonts w:ascii="Arial" w:hAnsi="Arial"/>
              </w:rPr>
              <w:t>consumer’s FX</w:t>
            </w:r>
            <w:r w:rsidR="00C47B4C">
              <w:rPr>
                <w:rFonts w:ascii="Arial" w:hAnsi="Arial"/>
              </w:rPr>
              <w:t xml:space="preserve"> </w:t>
            </w:r>
            <w:r w:rsidR="009070CF">
              <w:rPr>
                <w:rFonts w:ascii="Arial" w:hAnsi="Arial"/>
              </w:rPr>
              <w:t>current</w:t>
            </w:r>
            <w:r>
              <w:rPr>
                <w:rFonts w:ascii="Arial" w:hAnsi="Arial"/>
              </w:rPr>
              <w:t xml:space="preserve"> account </w:t>
            </w:r>
            <w:r w:rsidR="009070CF"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>euro</w:t>
            </w:r>
            <w:r w:rsidR="00C47B4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, under </w:t>
            </w:r>
            <w:r w:rsidR="00C47B4C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payment transaction initiated by the payer from abroad.</w:t>
            </w:r>
          </w:p>
        </w:tc>
      </w:tr>
      <w:tr w:rsidR="000542C6" w:rsidRPr="005A10EE" w14:paraId="5F7824BA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48A003AB" w14:textId="77777777" w:rsidR="000542C6" w:rsidRPr="00EC7333" w:rsidRDefault="0038012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402" w:type="dxa"/>
            <w:vAlign w:val="center"/>
          </w:tcPr>
          <w:p w14:paraId="3DB99754" w14:textId="77777777" w:rsidR="000542C6" w:rsidRPr="00EC7333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Electronic banking</w:t>
            </w:r>
          </w:p>
        </w:tc>
        <w:tc>
          <w:tcPr>
            <w:tcW w:w="5386" w:type="dxa"/>
            <w:vAlign w:val="center"/>
          </w:tcPr>
          <w:p w14:paraId="13EF540D" w14:textId="05FB5234" w:rsidR="000542C6" w:rsidRPr="00EC7333" w:rsidRDefault="00B13DDF" w:rsidP="00C47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</w:t>
            </w:r>
            <w:r w:rsidR="00C47B4C">
              <w:rPr>
                <w:rFonts w:ascii="Arial" w:hAnsi="Arial"/>
              </w:rPr>
              <w:t xml:space="preserve">enable </w:t>
            </w:r>
            <w:r>
              <w:rPr>
                <w:rFonts w:ascii="Arial" w:hAnsi="Arial"/>
              </w:rPr>
              <w:t>the consumer to use the services linked to a payment account by using appropriate applicati</w:t>
            </w:r>
            <w:r w:rsidR="00C47B4C">
              <w:rPr>
                <w:rFonts w:ascii="Arial" w:hAnsi="Arial"/>
              </w:rPr>
              <w:t>on</w:t>
            </w:r>
            <w:r>
              <w:rPr>
                <w:rFonts w:ascii="Arial" w:hAnsi="Arial"/>
              </w:rPr>
              <w:t xml:space="preserve"> software on the computer.</w:t>
            </w:r>
          </w:p>
        </w:tc>
      </w:tr>
      <w:tr w:rsidR="000542C6" w:rsidRPr="005A10EE" w14:paraId="2E6BDD66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1F25E1A4" w14:textId="77777777" w:rsidR="000542C6" w:rsidRPr="00EC7333" w:rsidRDefault="0038012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402" w:type="dxa"/>
            <w:vAlign w:val="center"/>
          </w:tcPr>
          <w:p w14:paraId="0B4E23E7" w14:textId="77777777" w:rsidR="000542C6" w:rsidRPr="00EC7333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Mobile banking</w:t>
            </w:r>
          </w:p>
        </w:tc>
        <w:tc>
          <w:tcPr>
            <w:tcW w:w="5386" w:type="dxa"/>
            <w:vAlign w:val="center"/>
          </w:tcPr>
          <w:p w14:paraId="4FC407CB" w14:textId="230CA39D" w:rsidR="000542C6" w:rsidRPr="00EC7333" w:rsidRDefault="00B13DDF" w:rsidP="00C47B4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</w:t>
            </w:r>
            <w:r w:rsidR="00C47B4C">
              <w:rPr>
                <w:rFonts w:ascii="Arial" w:hAnsi="Arial"/>
              </w:rPr>
              <w:t xml:space="preserve">enable </w:t>
            </w:r>
            <w:r>
              <w:rPr>
                <w:rFonts w:ascii="Arial" w:hAnsi="Arial"/>
              </w:rPr>
              <w:t>the consumer to use services linked to a payment account by using appropriate applicati</w:t>
            </w:r>
            <w:r w:rsidR="00C47B4C">
              <w:rPr>
                <w:rFonts w:ascii="Arial" w:hAnsi="Arial"/>
              </w:rPr>
              <w:t>on</w:t>
            </w:r>
            <w:r>
              <w:rPr>
                <w:rFonts w:ascii="Arial" w:hAnsi="Arial"/>
              </w:rPr>
              <w:t xml:space="preserve"> software on </w:t>
            </w:r>
            <w:r w:rsidR="00C47B4C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mobile telecommunication device.</w:t>
            </w:r>
          </w:p>
        </w:tc>
      </w:tr>
      <w:tr w:rsidR="000542C6" w:rsidRPr="005A10EE" w14:paraId="4275CF42" w14:textId="77777777" w:rsidTr="000A2EAE">
        <w:trPr>
          <w:trHeight w:val="55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19660C" w14:textId="77777777" w:rsidR="000542C6" w:rsidRPr="00EC7333" w:rsidRDefault="0038012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86CCBF4" w14:textId="77777777" w:rsidR="000542C6" w:rsidRPr="00EC7333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Standing order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0D91135" w14:textId="2752861E" w:rsidR="000542C6" w:rsidRPr="00EC7333" w:rsidRDefault="00863F61" w:rsidP="00863F6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payment service provider shall execute regular periodic transfers of predetermined/determinable amount</w:t>
            </w:r>
            <w:r w:rsidR="00C47B4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of funds from the account of the consumer to other account, in accordance with the consumer's instruction.</w:t>
            </w:r>
          </w:p>
        </w:tc>
      </w:tr>
      <w:tr w:rsidR="000542C6" w:rsidRPr="005A10EE" w14:paraId="0C0B0231" w14:textId="77777777" w:rsidTr="000A2EAE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8E0" w14:textId="77777777" w:rsidR="000542C6" w:rsidRPr="00EC7333" w:rsidRDefault="0038012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14E" w14:textId="77777777" w:rsidR="000542C6" w:rsidRPr="00EC7333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Direct debits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158F" w14:textId="4B10EE32" w:rsidR="000542C6" w:rsidRPr="00EC7333" w:rsidRDefault="003752C3" w:rsidP="006C572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payee shall initiate the tran</w:t>
            </w:r>
            <w:r w:rsidR="006C572C">
              <w:rPr>
                <w:rFonts w:ascii="Arial" w:hAnsi="Arial"/>
              </w:rPr>
              <w:t>sfer of funds from the consumer’</w:t>
            </w:r>
            <w:r>
              <w:rPr>
                <w:rFonts w:ascii="Arial" w:hAnsi="Arial"/>
              </w:rPr>
              <w:t xml:space="preserve">s account to its own account, </w:t>
            </w:r>
            <w:r w:rsidR="00C47B4C">
              <w:rPr>
                <w:rFonts w:ascii="Arial" w:hAnsi="Arial"/>
              </w:rPr>
              <w:t xml:space="preserve">based on </w:t>
            </w:r>
            <w:r>
              <w:rPr>
                <w:rFonts w:ascii="Arial" w:hAnsi="Arial"/>
              </w:rPr>
              <w:t xml:space="preserve">the consent that the consumer gave </w:t>
            </w:r>
            <w:r w:rsidR="00C47B4C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the payee, its paymen</w:t>
            </w:r>
            <w:r w:rsidR="006C572C">
              <w:rPr>
                <w:rFonts w:ascii="Arial" w:hAnsi="Arial"/>
              </w:rPr>
              <w:t>t service provider or the payee’</w:t>
            </w:r>
            <w:r>
              <w:rPr>
                <w:rFonts w:ascii="Arial" w:hAnsi="Arial"/>
              </w:rPr>
              <w:t xml:space="preserve">s payment service provider. </w:t>
            </w:r>
            <w:r w:rsidR="00C47B4C">
              <w:rPr>
                <w:rFonts w:ascii="Arial" w:hAnsi="Arial"/>
              </w:rPr>
              <w:t>Based on the</w:t>
            </w:r>
            <w:r>
              <w:rPr>
                <w:rFonts w:ascii="Arial" w:hAnsi="Arial"/>
              </w:rPr>
              <w:t xml:space="preserve"> payment transaction</w:t>
            </w:r>
            <w:r w:rsidR="00C47B4C">
              <w:rPr>
                <w:rFonts w:ascii="Arial" w:hAnsi="Arial"/>
              </w:rPr>
              <w:t xml:space="preserve"> initiated in such way</w:t>
            </w:r>
            <w:r>
              <w:rPr>
                <w:rFonts w:ascii="Arial" w:hAnsi="Arial"/>
              </w:rPr>
              <w:t>, the payment service provider of the consumer transfers funds to the payee on the date or dates agreed between the consumer and the payee</w:t>
            </w:r>
            <w:proofErr w:type="gramStart"/>
            <w:r>
              <w:rPr>
                <w:rFonts w:ascii="Arial" w:hAnsi="Arial"/>
              </w:rPr>
              <w:t xml:space="preserve">, </w:t>
            </w:r>
            <w:r w:rsidR="006C572C">
              <w:rPr>
                <w:rFonts w:ascii="Arial" w:hAnsi="Arial"/>
              </w:rPr>
              <w:t xml:space="preserve"> with</w:t>
            </w:r>
            <w:proofErr w:type="gramEnd"/>
            <w:r w:rsidR="006C57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funds transferred usually in variable amounts.</w:t>
            </w:r>
          </w:p>
        </w:tc>
      </w:tr>
      <w:tr w:rsidR="009639CB" w:rsidRPr="005A10EE" w14:paraId="0E22D3B5" w14:textId="77777777" w:rsidTr="000A2EAE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337" w14:textId="77777777" w:rsidR="009639CB" w:rsidRPr="00EC7333" w:rsidRDefault="0038012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E6A" w14:textId="77777777" w:rsidR="009639CB" w:rsidRPr="00EC7333" w:rsidRDefault="009639CB" w:rsidP="00FF541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Cheque issuance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C48" w14:textId="638EE11C" w:rsidR="009639CB" w:rsidRPr="00EC7333" w:rsidRDefault="009639CB" w:rsidP="00A974D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issue a cheque to the consumer which the consumer can use to </w:t>
            </w:r>
            <w:r w:rsidR="00A974D3">
              <w:rPr>
                <w:rFonts w:ascii="Arial" w:hAnsi="Arial"/>
              </w:rPr>
              <w:t>give consent</w:t>
            </w:r>
            <w:r>
              <w:rPr>
                <w:rFonts w:ascii="Arial" w:hAnsi="Arial"/>
              </w:rPr>
              <w:t xml:space="preserve"> for the execution of </w:t>
            </w:r>
            <w:r w:rsidR="006C572C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 xml:space="preserve">payment transaction from its payment account. </w:t>
            </w:r>
          </w:p>
        </w:tc>
      </w:tr>
      <w:tr w:rsidR="000542C6" w:rsidRPr="005A10EE" w14:paraId="55CC0FDB" w14:textId="77777777" w:rsidTr="000A2EAE">
        <w:trPr>
          <w:trHeight w:val="55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92077AE" w14:textId="77777777" w:rsidR="000542C6" w:rsidRPr="00EC7333" w:rsidRDefault="008A2DA8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D9C3F81" w14:textId="77777777" w:rsidR="000542C6" w:rsidRPr="00EC7333" w:rsidRDefault="00571990" w:rsidP="00CD44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Debit card issuance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0E3D03EB" w14:textId="4B66ED05" w:rsidR="000542C6" w:rsidRPr="00EC7333" w:rsidRDefault="009D06B8" w:rsidP="002318C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payment service provider shall issue</w:t>
            </w:r>
            <w:r w:rsidR="00A974D3">
              <w:rPr>
                <w:rFonts w:ascii="Arial" w:hAnsi="Arial"/>
              </w:rPr>
              <w:t xml:space="preserve"> to</w:t>
            </w:r>
            <w:r>
              <w:rPr>
                <w:rFonts w:ascii="Arial" w:hAnsi="Arial"/>
              </w:rPr>
              <w:t xml:space="preserve"> </w:t>
            </w:r>
            <w:r w:rsidR="002318C6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 xml:space="preserve">consumer a payment card linked to </w:t>
            </w:r>
            <w:r w:rsidR="002318C6">
              <w:rPr>
                <w:rFonts w:ascii="Arial" w:hAnsi="Arial"/>
              </w:rPr>
              <w:t xml:space="preserve">the consumer’s </w:t>
            </w:r>
            <w:r>
              <w:rPr>
                <w:rFonts w:ascii="Arial" w:hAnsi="Arial"/>
              </w:rPr>
              <w:t xml:space="preserve">payment account. With </w:t>
            </w:r>
            <w:r w:rsidR="002318C6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 xml:space="preserve">debit card, </w:t>
            </w:r>
            <w:r w:rsidR="002318C6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consumer may pay for goods and services and/or withdraw cash at ATMs and counters of payment service providers up to the amount of funds in </w:t>
            </w:r>
            <w:r w:rsidR="002318C6">
              <w:rPr>
                <w:rFonts w:ascii="Arial" w:hAnsi="Arial"/>
              </w:rPr>
              <w:t xml:space="preserve">the consumer’s </w:t>
            </w:r>
            <w:r>
              <w:rPr>
                <w:rFonts w:ascii="Arial" w:hAnsi="Arial"/>
              </w:rPr>
              <w:t>account, which can include authorised overdraft facility.</w:t>
            </w:r>
          </w:p>
        </w:tc>
      </w:tr>
      <w:tr w:rsidR="000542C6" w:rsidRPr="005A10EE" w14:paraId="17BD71F0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10893B53" w14:textId="77777777" w:rsidR="000542C6" w:rsidRPr="00EC7333" w:rsidRDefault="00AA3D9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402" w:type="dxa"/>
            <w:vAlign w:val="center"/>
          </w:tcPr>
          <w:p w14:paraId="7BB58ECE" w14:textId="77777777" w:rsidR="000542C6" w:rsidRPr="00EC7333" w:rsidRDefault="00571990" w:rsidP="00CD44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Credit card issuance</w:t>
            </w:r>
          </w:p>
        </w:tc>
        <w:tc>
          <w:tcPr>
            <w:tcW w:w="5386" w:type="dxa"/>
            <w:vAlign w:val="center"/>
          </w:tcPr>
          <w:p w14:paraId="7F3462C1" w14:textId="469FA77E" w:rsidR="000542C6" w:rsidRPr="00EC7333" w:rsidRDefault="00667AAD" w:rsidP="00A974D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issue a credit card linked to the consumer's payment account. A credit card enables the use of funds that the payment service provider lends to the credit card consumer, in accordance with the </w:t>
            </w:r>
            <w:r w:rsidR="00A974D3">
              <w:rPr>
                <w:rFonts w:ascii="Arial" w:hAnsi="Arial"/>
              </w:rPr>
              <w:t xml:space="preserve">earlier concluded </w:t>
            </w:r>
            <w:r>
              <w:rPr>
                <w:rFonts w:ascii="Arial" w:hAnsi="Arial"/>
              </w:rPr>
              <w:t xml:space="preserve">agreement, by debiting the payment account fully or partly for the total amount of transactions executed with that card, </w:t>
            </w:r>
            <w:r w:rsidR="00A974D3">
              <w:rPr>
                <w:rFonts w:ascii="Arial" w:hAnsi="Arial"/>
              </w:rPr>
              <w:t xml:space="preserve">on </w:t>
            </w:r>
            <w:r>
              <w:rPr>
                <w:rFonts w:ascii="Arial" w:hAnsi="Arial"/>
              </w:rPr>
              <w:t xml:space="preserve">the agreed date. A payment service provider may calculate and charge </w:t>
            </w:r>
            <w:r w:rsidR="00A974D3">
              <w:rPr>
                <w:rFonts w:ascii="Arial" w:hAnsi="Arial"/>
              </w:rPr>
              <w:t xml:space="preserve">against </w:t>
            </w:r>
            <w:r>
              <w:rPr>
                <w:rFonts w:ascii="Arial" w:hAnsi="Arial"/>
              </w:rPr>
              <w:t xml:space="preserve">a consumer interest according to the agreement on </w:t>
            </w:r>
            <w:r w:rsidR="006C572C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issuance and use of a credit card.</w:t>
            </w:r>
          </w:p>
        </w:tc>
      </w:tr>
      <w:tr w:rsidR="009D06B8" w:rsidRPr="005A10EE" w14:paraId="462109AA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59C8C659" w14:textId="77777777" w:rsidR="009D06B8" w:rsidRPr="00EC7333" w:rsidRDefault="00AA3D9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402" w:type="dxa"/>
            <w:vAlign w:val="center"/>
          </w:tcPr>
          <w:p w14:paraId="066E2D16" w14:textId="3151F7C5" w:rsidR="009D06B8" w:rsidRPr="00EC7333" w:rsidRDefault="00F123FE" w:rsidP="00F123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</w:t>
            </w:r>
            <w:r w:rsidR="009D06B8">
              <w:rPr>
                <w:rFonts w:ascii="Arial" w:hAnsi="Arial"/>
              </w:rPr>
              <w:t>ash pay</w:t>
            </w:r>
            <w:r w:rsidR="00EE0AA5">
              <w:rPr>
                <w:rFonts w:ascii="Arial" w:hAnsi="Arial"/>
              </w:rPr>
              <w:t>-outs</w:t>
            </w:r>
            <w:r>
              <w:rPr>
                <w:rFonts w:ascii="Arial" w:hAnsi="Arial"/>
              </w:rPr>
              <w:t xml:space="preserve"> using a payment card</w:t>
            </w:r>
          </w:p>
        </w:tc>
        <w:tc>
          <w:tcPr>
            <w:tcW w:w="5386" w:type="dxa"/>
            <w:vAlign w:val="center"/>
          </w:tcPr>
          <w:p w14:paraId="4BC455EC" w14:textId="75E95BF8" w:rsidR="009D06B8" w:rsidRPr="00EC7333" w:rsidRDefault="0080447B" w:rsidP="006B274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consumer withdraws cash using a debit card and/or a credit card linked to a payment account at ATMs an</w:t>
            </w:r>
            <w:r w:rsidR="00F123FE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/or counters of payment service providers in the Republic of Serbia and/or abroad.</w:t>
            </w:r>
          </w:p>
        </w:tc>
      </w:tr>
      <w:tr w:rsidR="009D06B8" w:rsidRPr="005A10EE" w14:paraId="2F151948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7C7C8ACF" w14:textId="77777777" w:rsidR="009D06B8" w:rsidRPr="00EC7333" w:rsidRDefault="00AA3D9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402" w:type="dxa"/>
            <w:vAlign w:val="center"/>
          </w:tcPr>
          <w:p w14:paraId="50E60F0D" w14:textId="3DAE7348" w:rsidR="009D06B8" w:rsidRPr="00EC7333" w:rsidRDefault="00F123FE" w:rsidP="00F123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Paying with a credit card</w:t>
            </w:r>
            <w:r w:rsidR="006C572C">
              <w:rPr>
                <w:rFonts w:ascii="Arial" w:hAnsi="Arial"/>
              </w:rPr>
              <w:t xml:space="preserve"> at a merchant’</w:t>
            </w:r>
            <w:r w:rsidR="00786EB2">
              <w:rPr>
                <w:rFonts w:ascii="Arial" w:hAnsi="Arial"/>
              </w:rPr>
              <w:t>s point of sale</w:t>
            </w:r>
          </w:p>
        </w:tc>
        <w:tc>
          <w:tcPr>
            <w:tcW w:w="5386" w:type="dxa"/>
            <w:vAlign w:val="center"/>
          </w:tcPr>
          <w:p w14:paraId="24DC361F" w14:textId="147A3913" w:rsidR="009D06B8" w:rsidRPr="00EC7333" w:rsidRDefault="00146803" w:rsidP="00C8057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consumer </w:t>
            </w:r>
            <w:r w:rsidR="00066A76">
              <w:rPr>
                <w:rFonts w:ascii="Arial" w:hAnsi="Arial"/>
              </w:rPr>
              <w:t xml:space="preserve">shall </w:t>
            </w:r>
            <w:r>
              <w:rPr>
                <w:rFonts w:ascii="Arial" w:hAnsi="Arial"/>
              </w:rPr>
              <w:t xml:space="preserve">pay for goods and services using a credit card linked to </w:t>
            </w:r>
            <w:r w:rsidR="006C572C">
              <w:rPr>
                <w:rFonts w:ascii="Arial" w:hAnsi="Arial"/>
              </w:rPr>
              <w:t>a payment account at a merchant’</w:t>
            </w:r>
            <w:r>
              <w:rPr>
                <w:rFonts w:ascii="Arial" w:hAnsi="Arial"/>
              </w:rPr>
              <w:t>s point of sale in the Republic of Serbia and/or abroad.</w:t>
            </w:r>
            <w:r w:rsidR="00C47B4C">
              <w:rPr>
                <w:rFonts w:ascii="Arial" w:hAnsi="Arial"/>
              </w:rPr>
              <w:t xml:space="preserve">  </w:t>
            </w:r>
          </w:p>
        </w:tc>
      </w:tr>
      <w:tr w:rsidR="000542C6" w:rsidRPr="005A10EE" w14:paraId="5D7B9F1B" w14:textId="77777777" w:rsidTr="000A2EAE">
        <w:trPr>
          <w:trHeight w:val="552"/>
        </w:trPr>
        <w:tc>
          <w:tcPr>
            <w:tcW w:w="993" w:type="dxa"/>
            <w:vAlign w:val="center"/>
          </w:tcPr>
          <w:p w14:paraId="5777A6B6" w14:textId="77777777" w:rsidR="000542C6" w:rsidRPr="00EC7333" w:rsidRDefault="00AA3D9A" w:rsidP="00E70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402" w:type="dxa"/>
            <w:vAlign w:val="center"/>
          </w:tcPr>
          <w:p w14:paraId="24437FDE" w14:textId="77777777" w:rsidR="000542C6" w:rsidRPr="00EC7333" w:rsidRDefault="00571990" w:rsidP="00DC096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Authorised overdraft facility</w:t>
            </w:r>
          </w:p>
        </w:tc>
        <w:tc>
          <w:tcPr>
            <w:tcW w:w="5386" w:type="dxa"/>
            <w:vAlign w:val="center"/>
          </w:tcPr>
          <w:p w14:paraId="4C8D22C4" w14:textId="790C07A4" w:rsidR="000542C6" w:rsidRPr="00647C11" w:rsidRDefault="00EF20DE" w:rsidP="00066A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the agreement on authorised overdraft facility, a payment service provider shall make available an agreed </w:t>
            </w:r>
            <w:r w:rsidR="006C572C">
              <w:rPr>
                <w:rFonts w:ascii="Arial" w:hAnsi="Arial"/>
              </w:rPr>
              <w:t>amount of funds on the consumer’</w:t>
            </w:r>
            <w:r>
              <w:rPr>
                <w:rFonts w:ascii="Arial" w:hAnsi="Arial"/>
              </w:rPr>
              <w:t xml:space="preserve">s payment account that the consumer may </w:t>
            </w:r>
            <w:r w:rsidR="00647C11">
              <w:rPr>
                <w:rFonts w:ascii="Arial" w:hAnsi="Arial"/>
              </w:rPr>
              <w:t xml:space="preserve">use </w:t>
            </w:r>
            <w:r>
              <w:rPr>
                <w:rFonts w:ascii="Arial" w:hAnsi="Arial"/>
              </w:rPr>
              <w:t xml:space="preserve">when </w:t>
            </w:r>
            <w:r w:rsidR="00647C11">
              <w:rPr>
                <w:rFonts w:ascii="Arial" w:hAnsi="Arial"/>
              </w:rPr>
              <w:t>he has no more</w:t>
            </w:r>
            <w:r>
              <w:rPr>
                <w:rFonts w:ascii="Arial" w:hAnsi="Arial"/>
              </w:rPr>
              <w:t xml:space="preserve"> own funds on the account. The agreement on authorised overdraft</w:t>
            </w:r>
            <w:r w:rsidR="00647C11">
              <w:rPr>
                <w:rFonts w:ascii="Arial" w:hAnsi="Arial"/>
              </w:rPr>
              <w:t xml:space="preserve"> facility</w:t>
            </w:r>
            <w:r>
              <w:rPr>
                <w:rFonts w:ascii="Arial" w:hAnsi="Arial"/>
              </w:rPr>
              <w:t xml:space="preserve"> establishes the highest amount of funds that the consumer may use, as well as fees and interest, if </w:t>
            </w:r>
            <w:r w:rsidR="00066A76">
              <w:rPr>
                <w:rFonts w:ascii="Arial" w:hAnsi="Arial"/>
              </w:rPr>
              <w:t xml:space="preserve">charged by </w:t>
            </w:r>
            <w:r>
              <w:rPr>
                <w:rFonts w:ascii="Arial" w:hAnsi="Arial"/>
              </w:rPr>
              <w:t xml:space="preserve">the payment service provider. </w:t>
            </w:r>
          </w:p>
        </w:tc>
      </w:tr>
    </w:tbl>
    <w:p w14:paraId="6A93A9D8" w14:textId="77777777" w:rsidR="002E21CC" w:rsidRPr="00EC7333" w:rsidRDefault="002E21CC" w:rsidP="00E449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  <w:lang w:val="sr-Cyrl-RS"/>
        </w:rPr>
      </w:pPr>
    </w:p>
    <w:sectPr w:rsidR="002E21CC" w:rsidRPr="00EC7333" w:rsidSect="005A1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75764" w14:textId="77777777" w:rsidR="00910AD7" w:rsidRDefault="00910AD7">
      <w:r>
        <w:separator/>
      </w:r>
    </w:p>
  </w:endnote>
  <w:endnote w:type="continuationSeparator" w:id="0">
    <w:p w14:paraId="4C8A07B3" w14:textId="77777777" w:rsidR="00910AD7" w:rsidRDefault="00910AD7">
      <w:r>
        <w:continuationSeparator/>
      </w:r>
    </w:p>
  </w:endnote>
  <w:endnote w:type="continuationNotice" w:id="1">
    <w:p w14:paraId="172554BE" w14:textId="77777777" w:rsidR="00910AD7" w:rsidRDefault="00910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09C" w14:textId="77777777" w:rsidR="000E5BEF" w:rsidRDefault="000E5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1FC6" w14:textId="77777777" w:rsidR="000E5BEF" w:rsidRDefault="000E5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5E98" w14:textId="77777777" w:rsidR="000E5BEF" w:rsidRDefault="000E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F9D0" w14:textId="77777777" w:rsidR="00910AD7" w:rsidRDefault="00910AD7">
      <w:r>
        <w:separator/>
      </w:r>
    </w:p>
  </w:footnote>
  <w:footnote w:type="continuationSeparator" w:id="0">
    <w:p w14:paraId="1FDD6FBF" w14:textId="77777777" w:rsidR="00910AD7" w:rsidRDefault="00910AD7">
      <w:r>
        <w:continuationSeparator/>
      </w:r>
    </w:p>
  </w:footnote>
  <w:footnote w:type="continuationNotice" w:id="1">
    <w:p w14:paraId="6E4B2883" w14:textId="77777777" w:rsidR="00910AD7" w:rsidRDefault="00910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B7E8" w14:textId="77777777" w:rsidR="00296D8E" w:rsidRDefault="00296D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72375" w14:textId="77777777" w:rsidR="00296D8E" w:rsidRDefault="00296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72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BB16A" w14:textId="16A3C9E3" w:rsidR="005A10EE" w:rsidRDefault="005A10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9AE36" w14:textId="77777777" w:rsidR="005A10EE" w:rsidRPr="005A10EE" w:rsidRDefault="005A10E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0FE2" w14:textId="77777777" w:rsidR="005A10EE" w:rsidRPr="00471967" w:rsidRDefault="005A10EE" w:rsidP="005A10EE">
    <w:pPr>
      <w:jc w:val="right"/>
      <w:rPr>
        <w:rFonts w:ascii="Arial" w:hAnsi="Arial" w:cs="Arial"/>
        <w:b/>
        <w:sz w:val="28"/>
        <w:szCs w:val="28"/>
      </w:rPr>
    </w:pPr>
    <w:r>
      <w:tab/>
    </w:r>
    <w:r>
      <w:rPr>
        <w:rFonts w:ascii="Arial" w:hAnsi="Arial"/>
        <w:b/>
        <w:sz w:val="28"/>
        <w:szCs w:val="28"/>
      </w:rPr>
      <w:t>Annex 1</w:t>
    </w:r>
    <w:r>
      <w:tab/>
    </w:r>
  </w:p>
  <w:p w14:paraId="2DC078D7" w14:textId="77777777" w:rsidR="005A10EE" w:rsidRDefault="005A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F3"/>
    <w:multiLevelType w:val="hybridMultilevel"/>
    <w:tmpl w:val="909C4EE0"/>
    <w:lvl w:ilvl="0" w:tplc="1A301458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B6127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C46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6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27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E9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29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2C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01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A269B"/>
    <w:multiLevelType w:val="hybridMultilevel"/>
    <w:tmpl w:val="8C005BD0"/>
    <w:lvl w:ilvl="0" w:tplc="9F644F4C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A4B06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6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EC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8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CE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6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AE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ED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C78AD"/>
    <w:multiLevelType w:val="hybridMultilevel"/>
    <w:tmpl w:val="03FE672C"/>
    <w:lvl w:ilvl="0" w:tplc="49B4F6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A9C4E2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E0C02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E6D9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5AF6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EA28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640C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16E1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EC14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02AC4"/>
    <w:multiLevelType w:val="hybridMultilevel"/>
    <w:tmpl w:val="C926748A"/>
    <w:lvl w:ilvl="0" w:tplc="4D3A1358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842E6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CB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6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69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07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81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AE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249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B67F6"/>
    <w:multiLevelType w:val="hybridMultilevel"/>
    <w:tmpl w:val="2FEA8B24"/>
    <w:lvl w:ilvl="0" w:tplc="98A460F6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BF63051"/>
    <w:multiLevelType w:val="hybridMultilevel"/>
    <w:tmpl w:val="B8460D22"/>
    <w:lvl w:ilvl="0" w:tplc="3A36B226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D882A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2B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0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8C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F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E9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5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2E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A1795"/>
    <w:multiLevelType w:val="hybridMultilevel"/>
    <w:tmpl w:val="EC5C0BA8"/>
    <w:lvl w:ilvl="0" w:tplc="BD923FB2">
      <w:start w:val="1"/>
      <w:numFmt w:val="decimal"/>
      <w:lvlText w:val="%1.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 w:tplc="0D2CA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4A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2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D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4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A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6E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437A1"/>
    <w:multiLevelType w:val="hybridMultilevel"/>
    <w:tmpl w:val="52A861FE"/>
    <w:lvl w:ilvl="0" w:tplc="971812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34343"/>
    <w:multiLevelType w:val="hybridMultilevel"/>
    <w:tmpl w:val="33D4C58E"/>
    <w:lvl w:ilvl="0" w:tplc="DDF82BCC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A02A1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68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6C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2E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AF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6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09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A6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10B96"/>
    <w:multiLevelType w:val="hybridMultilevel"/>
    <w:tmpl w:val="606A5C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A5DBC"/>
    <w:multiLevelType w:val="hybridMultilevel"/>
    <w:tmpl w:val="DB7E1958"/>
    <w:lvl w:ilvl="0" w:tplc="6242F7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B7A"/>
    <w:multiLevelType w:val="hybridMultilevel"/>
    <w:tmpl w:val="B6CEB440"/>
    <w:lvl w:ilvl="0" w:tplc="5A68E312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0955845"/>
    <w:multiLevelType w:val="hybridMultilevel"/>
    <w:tmpl w:val="407668A6"/>
    <w:lvl w:ilvl="0" w:tplc="BDFAC384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31A4B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A4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ED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A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08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2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0B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6C7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52E3D"/>
    <w:multiLevelType w:val="hybridMultilevel"/>
    <w:tmpl w:val="35683F32"/>
    <w:lvl w:ilvl="0" w:tplc="8740086A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08563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00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63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C0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A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B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40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C17"/>
    <w:rsid w:val="00000906"/>
    <w:rsid w:val="0000363D"/>
    <w:rsid w:val="00025011"/>
    <w:rsid w:val="00035262"/>
    <w:rsid w:val="00035AC7"/>
    <w:rsid w:val="000402D6"/>
    <w:rsid w:val="00042AF0"/>
    <w:rsid w:val="00044A23"/>
    <w:rsid w:val="00051E44"/>
    <w:rsid w:val="000542C6"/>
    <w:rsid w:val="00055282"/>
    <w:rsid w:val="00065676"/>
    <w:rsid w:val="0006677A"/>
    <w:rsid w:val="00066A76"/>
    <w:rsid w:val="00070752"/>
    <w:rsid w:val="00075237"/>
    <w:rsid w:val="000947D2"/>
    <w:rsid w:val="000A2EAE"/>
    <w:rsid w:val="000A50B2"/>
    <w:rsid w:val="000B1068"/>
    <w:rsid w:val="000B2B81"/>
    <w:rsid w:val="000B38E8"/>
    <w:rsid w:val="000B444F"/>
    <w:rsid w:val="000D00E3"/>
    <w:rsid w:val="000D0E37"/>
    <w:rsid w:val="000D1597"/>
    <w:rsid w:val="000D5710"/>
    <w:rsid w:val="000D76F8"/>
    <w:rsid w:val="000D7B36"/>
    <w:rsid w:val="000E4443"/>
    <w:rsid w:val="000E58FF"/>
    <w:rsid w:val="000E5BEF"/>
    <w:rsid w:val="000F2A54"/>
    <w:rsid w:val="000F30AD"/>
    <w:rsid w:val="00100BB6"/>
    <w:rsid w:val="001017F8"/>
    <w:rsid w:val="00105D99"/>
    <w:rsid w:val="00111E9F"/>
    <w:rsid w:val="00114CB4"/>
    <w:rsid w:val="00122EB5"/>
    <w:rsid w:val="0012338F"/>
    <w:rsid w:val="00125328"/>
    <w:rsid w:val="00131724"/>
    <w:rsid w:val="0013557E"/>
    <w:rsid w:val="00135B5B"/>
    <w:rsid w:val="00146803"/>
    <w:rsid w:val="001538A9"/>
    <w:rsid w:val="0016122C"/>
    <w:rsid w:val="0016329F"/>
    <w:rsid w:val="00171FC4"/>
    <w:rsid w:val="00174DEC"/>
    <w:rsid w:val="00177296"/>
    <w:rsid w:val="00183FF7"/>
    <w:rsid w:val="001851AA"/>
    <w:rsid w:val="00185FC1"/>
    <w:rsid w:val="001862DE"/>
    <w:rsid w:val="001929F2"/>
    <w:rsid w:val="00192A65"/>
    <w:rsid w:val="001951E3"/>
    <w:rsid w:val="001A0D3F"/>
    <w:rsid w:val="001C12C5"/>
    <w:rsid w:val="001C6D32"/>
    <w:rsid w:val="001D5147"/>
    <w:rsid w:val="001E2DFD"/>
    <w:rsid w:val="001E79E3"/>
    <w:rsid w:val="001F2E00"/>
    <w:rsid w:val="001F56D8"/>
    <w:rsid w:val="001F7BAD"/>
    <w:rsid w:val="002013C4"/>
    <w:rsid w:val="002244D7"/>
    <w:rsid w:val="002318C6"/>
    <w:rsid w:val="002409B6"/>
    <w:rsid w:val="00241B3C"/>
    <w:rsid w:val="00243956"/>
    <w:rsid w:val="00243F60"/>
    <w:rsid w:val="002576FA"/>
    <w:rsid w:val="00276765"/>
    <w:rsid w:val="00283B58"/>
    <w:rsid w:val="00286041"/>
    <w:rsid w:val="00296D8E"/>
    <w:rsid w:val="00297D9F"/>
    <w:rsid w:val="002A4CD1"/>
    <w:rsid w:val="002A59F8"/>
    <w:rsid w:val="002A6199"/>
    <w:rsid w:val="002A6C28"/>
    <w:rsid w:val="002A7B98"/>
    <w:rsid w:val="002B0149"/>
    <w:rsid w:val="002B0887"/>
    <w:rsid w:val="002C57D4"/>
    <w:rsid w:val="002D13D1"/>
    <w:rsid w:val="002D304E"/>
    <w:rsid w:val="002D3C0E"/>
    <w:rsid w:val="002D4F4E"/>
    <w:rsid w:val="002D517C"/>
    <w:rsid w:val="002E21CC"/>
    <w:rsid w:val="002E7469"/>
    <w:rsid w:val="002F06A4"/>
    <w:rsid w:val="002F5298"/>
    <w:rsid w:val="00304352"/>
    <w:rsid w:val="003044C6"/>
    <w:rsid w:val="00314CC0"/>
    <w:rsid w:val="00315FA7"/>
    <w:rsid w:val="0031659B"/>
    <w:rsid w:val="00321798"/>
    <w:rsid w:val="00321D6D"/>
    <w:rsid w:val="00322913"/>
    <w:rsid w:val="0032685A"/>
    <w:rsid w:val="00336C72"/>
    <w:rsid w:val="00343AD0"/>
    <w:rsid w:val="0034627D"/>
    <w:rsid w:val="003566C8"/>
    <w:rsid w:val="003602D6"/>
    <w:rsid w:val="00362BEF"/>
    <w:rsid w:val="00363231"/>
    <w:rsid w:val="00363532"/>
    <w:rsid w:val="003635C7"/>
    <w:rsid w:val="00364563"/>
    <w:rsid w:val="00366A8E"/>
    <w:rsid w:val="00371300"/>
    <w:rsid w:val="003752C3"/>
    <w:rsid w:val="0038012A"/>
    <w:rsid w:val="0038757F"/>
    <w:rsid w:val="003905C1"/>
    <w:rsid w:val="003B1D3A"/>
    <w:rsid w:val="003B75A9"/>
    <w:rsid w:val="003C0A7C"/>
    <w:rsid w:val="003E3190"/>
    <w:rsid w:val="003E5159"/>
    <w:rsid w:val="003E725C"/>
    <w:rsid w:val="003F179E"/>
    <w:rsid w:val="003F6E2E"/>
    <w:rsid w:val="00400036"/>
    <w:rsid w:val="004006CA"/>
    <w:rsid w:val="00402EAE"/>
    <w:rsid w:val="004170F1"/>
    <w:rsid w:val="00417B89"/>
    <w:rsid w:val="00420596"/>
    <w:rsid w:val="00423429"/>
    <w:rsid w:val="00435DB5"/>
    <w:rsid w:val="004378D9"/>
    <w:rsid w:val="004455AF"/>
    <w:rsid w:val="00452EAE"/>
    <w:rsid w:val="00453B33"/>
    <w:rsid w:val="00455647"/>
    <w:rsid w:val="004601AD"/>
    <w:rsid w:val="00465E06"/>
    <w:rsid w:val="004675B5"/>
    <w:rsid w:val="00471967"/>
    <w:rsid w:val="004725A8"/>
    <w:rsid w:val="00473B28"/>
    <w:rsid w:val="00475F00"/>
    <w:rsid w:val="00480411"/>
    <w:rsid w:val="00480E32"/>
    <w:rsid w:val="00481FE1"/>
    <w:rsid w:val="00493BB8"/>
    <w:rsid w:val="004962DC"/>
    <w:rsid w:val="004A382B"/>
    <w:rsid w:val="004A7169"/>
    <w:rsid w:val="004A7F61"/>
    <w:rsid w:val="004B3AD9"/>
    <w:rsid w:val="004C3EAE"/>
    <w:rsid w:val="004C57FD"/>
    <w:rsid w:val="004C7AF2"/>
    <w:rsid w:val="004D42C6"/>
    <w:rsid w:val="004D4ADA"/>
    <w:rsid w:val="004D54BD"/>
    <w:rsid w:val="004F2B1F"/>
    <w:rsid w:val="004F4429"/>
    <w:rsid w:val="004F53BF"/>
    <w:rsid w:val="004F77B9"/>
    <w:rsid w:val="005019D0"/>
    <w:rsid w:val="00523F21"/>
    <w:rsid w:val="0052690C"/>
    <w:rsid w:val="00526B6A"/>
    <w:rsid w:val="00527969"/>
    <w:rsid w:val="00531A97"/>
    <w:rsid w:val="00531D1C"/>
    <w:rsid w:val="005327E9"/>
    <w:rsid w:val="005333F9"/>
    <w:rsid w:val="0053596D"/>
    <w:rsid w:val="00540EB2"/>
    <w:rsid w:val="00543705"/>
    <w:rsid w:val="005476EE"/>
    <w:rsid w:val="005504A0"/>
    <w:rsid w:val="00550C6F"/>
    <w:rsid w:val="00552ADE"/>
    <w:rsid w:val="00554CA1"/>
    <w:rsid w:val="00561725"/>
    <w:rsid w:val="0056721F"/>
    <w:rsid w:val="00571990"/>
    <w:rsid w:val="00577985"/>
    <w:rsid w:val="00587CAE"/>
    <w:rsid w:val="00591FD5"/>
    <w:rsid w:val="005A01D9"/>
    <w:rsid w:val="005A026F"/>
    <w:rsid w:val="005A10EE"/>
    <w:rsid w:val="005A5694"/>
    <w:rsid w:val="005B0C02"/>
    <w:rsid w:val="005B4656"/>
    <w:rsid w:val="005B4BDD"/>
    <w:rsid w:val="005B6C81"/>
    <w:rsid w:val="005C64C2"/>
    <w:rsid w:val="005C6689"/>
    <w:rsid w:val="005D0B7B"/>
    <w:rsid w:val="005D5872"/>
    <w:rsid w:val="005D60EF"/>
    <w:rsid w:val="005D6DA6"/>
    <w:rsid w:val="005E7B83"/>
    <w:rsid w:val="005F313E"/>
    <w:rsid w:val="005F38B1"/>
    <w:rsid w:val="00600F24"/>
    <w:rsid w:val="00602986"/>
    <w:rsid w:val="006054BD"/>
    <w:rsid w:val="0061475D"/>
    <w:rsid w:val="00615D24"/>
    <w:rsid w:val="00624B1C"/>
    <w:rsid w:val="006258C3"/>
    <w:rsid w:val="00647C11"/>
    <w:rsid w:val="0065045D"/>
    <w:rsid w:val="006515C8"/>
    <w:rsid w:val="006573FF"/>
    <w:rsid w:val="00667AAD"/>
    <w:rsid w:val="00670AB9"/>
    <w:rsid w:val="006713B9"/>
    <w:rsid w:val="006808C4"/>
    <w:rsid w:val="00686AD1"/>
    <w:rsid w:val="00690675"/>
    <w:rsid w:val="00690F02"/>
    <w:rsid w:val="006910E2"/>
    <w:rsid w:val="00693B37"/>
    <w:rsid w:val="006B04C9"/>
    <w:rsid w:val="006B179D"/>
    <w:rsid w:val="006B2740"/>
    <w:rsid w:val="006B7300"/>
    <w:rsid w:val="006C0BEF"/>
    <w:rsid w:val="006C0C96"/>
    <w:rsid w:val="006C1150"/>
    <w:rsid w:val="006C24D5"/>
    <w:rsid w:val="006C4764"/>
    <w:rsid w:val="006C572C"/>
    <w:rsid w:val="006C6A27"/>
    <w:rsid w:val="006D1F09"/>
    <w:rsid w:val="006D6A67"/>
    <w:rsid w:val="006E107E"/>
    <w:rsid w:val="006F5801"/>
    <w:rsid w:val="007024DC"/>
    <w:rsid w:val="007048B4"/>
    <w:rsid w:val="0071132A"/>
    <w:rsid w:val="00715507"/>
    <w:rsid w:val="00717996"/>
    <w:rsid w:val="007314E0"/>
    <w:rsid w:val="00731BB9"/>
    <w:rsid w:val="00733F5E"/>
    <w:rsid w:val="00740717"/>
    <w:rsid w:val="00741D48"/>
    <w:rsid w:val="00741E70"/>
    <w:rsid w:val="00744404"/>
    <w:rsid w:val="00744C3E"/>
    <w:rsid w:val="00750656"/>
    <w:rsid w:val="00750BAD"/>
    <w:rsid w:val="0075240C"/>
    <w:rsid w:val="00757718"/>
    <w:rsid w:val="00757CBF"/>
    <w:rsid w:val="00780A2D"/>
    <w:rsid w:val="00783A25"/>
    <w:rsid w:val="00786EB2"/>
    <w:rsid w:val="00796AC8"/>
    <w:rsid w:val="007A796D"/>
    <w:rsid w:val="007B115C"/>
    <w:rsid w:val="007B1456"/>
    <w:rsid w:val="007B74F3"/>
    <w:rsid w:val="007C2332"/>
    <w:rsid w:val="007C3670"/>
    <w:rsid w:val="007C49C8"/>
    <w:rsid w:val="007C60B8"/>
    <w:rsid w:val="007D08F4"/>
    <w:rsid w:val="007D21FB"/>
    <w:rsid w:val="007D58F8"/>
    <w:rsid w:val="007E635C"/>
    <w:rsid w:val="007E7B27"/>
    <w:rsid w:val="00801EDB"/>
    <w:rsid w:val="0080447B"/>
    <w:rsid w:val="00805930"/>
    <w:rsid w:val="00806427"/>
    <w:rsid w:val="00813282"/>
    <w:rsid w:val="00817258"/>
    <w:rsid w:val="00820130"/>
    <w:rsid w:val="00822555"/>
    <w:rsid w:val="00827006"/>
    <w:rsid w:val="00832A03"/>
    <w:rsid w:val="00833BCF"/>
    <w:rsid w:val="00836A2D"/>
    <w:rsid w:val="00840181"/>
    <w:rsid w:val="00843A6A"/>
    <w:rsid w:val="0084432A"/>
    <w:rsid w:val="00851013"/>
    <w:rsid w:val="00853AE3"/>
    <w:rsid w:val="008557D0"/>
    <w:rsid w:val="008611D9"/>
    <w:rsid w:val="00863F61"/>
    <w:rsid w:val="00864E3C"/>
    <w:rsid w:val="008703EC"/>
    <w:rsid w:val="00874982"/>
    <w:rsid w:val="00874FDA"/>
    <w:rsid w:val="008767BC"/>
    <w:rsid w:val="00881136"/>
    <w:rsid w:val="008822E9"/>
    <w:rsid w:val="008857A6"/>
    <w:rsid w:val="008859EA"/>
    <w:rsid w:val="008872A4"/>
    <w:rsid w:val="0089313C"/>
    <w:rsid w:val="008A004F"/>
    <w:rsid w:val="008A016E"/>
    <w:rsid w:val="008A2DA8"/>
    <w:rsid w:val="008A36E7"/>
    <w:rsid w:val="008B3258"/>
    <w:rsid w:val="008C4DFA"/>
    <w:rsid w:val="008D3075"/>
    <w:rsid w:val="008D3798"/>
    <w:rsid w:val="008E1E73"/>
    <w:rsid w:val="008E405B"/>
    <w:rsid w:val="008E5009"/>
    <w:rsid w:val="008E57D9"/>
    <w:rsid w:val="008E5E51"/>
    <w:rsid w:val="008E7E34"/>
    <w:rsid w:val="008F07B8"/>
    <w:rsid w:val="008F7E5C"/>
    <w:rsid w:val="009070CF"/>
    <w:rsid w:val="00910AD7"/>
    <w:rsid w:val="0091375C"/>
    <w:rsid w:val="0092028F"/>
    <w:rsid w:val="009330FF"/>
    <w:rsid w:val="00933D9F"/>
    <w:rsid w:val="009340FE"/>
    <w:rsid w:val="00943339"/>
    <w:rsid w:val="00944FCB"/>
    <w:rsid w:val="00951695"/>
    <w:rsid w:val="0095556D"/>
    <w:rsid w:val="00955EA9"/>
    <w:rsid w:val="009561E0"/>
    <w:rsid w:val="00960F14"/>
    <w:rsid w:val="00962AEA"/>
    <w:rsid w:val="009639CB"/>
    <w:rsid w:val="00963DCC"/>
    <w:rsid w:val="00964FF8"/>
    <w:rsid w:val="00966542"/>
    <w:rsid w:val="00982BFB"/>
    <w:rsid w:val="009967DE"/>
    <w:rsid w:val="009A13F4"/>
    <w:rsid w:val="009A25FA"/>
    <w:rsid w:val="009C2604"/>
    <w:rsid w:val="009C4C28"/>
    <w:rsid w:val="009D06B8"/>
    <w:rsid w:val="009E4FD3"/>
    <w:rsid w:val="009F4A93"/>
    <w:rsid w:val="009F6FFD"/>
    <w:rsid w:val="00A04C36"/>
    <w:rsid w:val="00A067E8"/>
    <w:rsid w:val="00A10722"/>
    <w:rsid w:val="00A22C4A"/>
    <w:rsid w:val="00A351B4"/>
    <w:rsid w:val="00A41FE9"/>
    <w:rsid w:val="00A456BC"/>
    <w:rsid w:val="00A5021F"/>
    <w:rsid w:val="00A55E1A"/>
    <w:rsid w:val="00A60D6E"/>
    <w:rsid w:val="00A61967"/>
    <w:rsid w:val="00A61C26"/>
    <w:rsid w:val="00A6663E"/>
    <w:rsid w:val="00A66C73"/>
    <w:rsid w:val="00A75DB2"/>
    <w:rsid w:val="00A85788"/>
    <w:rsid w:val="00A9355E"/>
    <w:rsid w:val="00A974D3"/>
    <w:rsid w:val="00AA153D"/>
    <w:rsid w:val="00AA235B"/>
    <w:rsid w:val="00AA39AD"/>
    <w:rsid w:val="00AA3D9A"/>
    <w:rsid w:val="00AA45B9"/>
    <w:rsid w:val="00AA467C"/>
    <w:rsid w:val="00AC2F51"/>
    <w:rsid w:val="00AC5EF6"/>
    <w:rsid w:val="00AC69F7"/>
    <w:rsid w:val="00AC6EF7"/>
    <w:rsid w:val="00AC6FC8"/>
    <w:rsid w:val="00AD3A85"/>
    <w:rsid w:val="00AE2D12"/>
    <w:rsid w:val="00AE4C17"/>
    <w:rsid w:val="00AE65F8"/>
    <w:rsid w:val="00AF3393"/>
    <w:rsid w:val="00AF672C"/>
    <w:rsid w:val="00B02E0B"/>
    <w:rsid w:val="00B02F60"/>
    <w:rsid w:val="00B13DDF"/>
    <w:rsid w:val="00B24AAB"/>
    <w:rsid w:val="00B268DF"/>
    <w:rsid w:val="00B33F35"/>
    <w:rsid w:val="00B362E1"/>
    <w:rsid w:val="00B373D2"/>
    <w:rsid w:val="00B43144"/>
    <w:rsid w:val="00B45DD2"/>
    <w:rsid w:val="00B4608E"/>
    <w:rsid w:val="00B55E41"/>
    <w:rsid w:val="00B60293"/>
    <w:rsid w:val="00B62D48"/>
    <w:rsid w:val="00B62E7D"/>
    <w:rsid w:val="00B7199D"/>
    <w:rsid w:val="00B73F25"/>
    <w:rsid w:val="00B77C7C"/>
    <w:rsid w:val="00B86CB9"/>
    <w:rsid w:val="00B87F64"/>
    <w:rsid w:val="00B94274"/>
    <w:rsid w:val="00B95B5A"/>
    <w:rsid w:val="00BB1006"/>
    <w:rsid w:val="00BB1070"/>
    <w:rsid w:val="00BB193F"/>
    <w:rsid w:val="00BB3A1B"/>
    <w:rsid w:val="00BB58CE"/>
    <w:rsid w:val="00BC3216"/>
    <w:rsid w:val="00BC346F"/>
    <w:rsid w:val="00BC3758"/>
    <w:rsid w:val="00BC4918"/>
    <w:rsid w:val="00BD037F"/>
    <w:rsid w:val="00BD2F5A"/>
    <w:rsid w:val="00BD3C59"/>
    <w:rsid w:val="00BD7714"/>
    <w:rsid w:val="00BE2CBD"/>
    <w:rsid w:val="00BE356F"/>
    <w:rsid w:val="00BE4E32"/>
    <w:rsid w:val="00BE7449"/>
    <w:rsid w:val="00BF14DE"/>
    <w:rsid w:val="00BF4D22"/>
    <w:rsid w:val="00C02B3A"/>
    <w:rsid w:val="00C036AD"/>
    <w:rsid w:val="00C0785F"/>
    <w:rsid w:val="00C15A67"/>
    <w:rsid w:val="00C2317A"/>
    <w:rsid w:val="00C24926"/>
    <w:rsid w:val="00C25247"/>
    <w:rsid w:val="00C27008"/>
    <w:rsid w:val="00C33909"/>
    <w:rsid w:val="00C47B4C"/>
    <w:rsid w:val="00C6110C"/>
    <w:rsid w:val="00C74AE2"/>
    <w:rsid w:val="00C765A5"/>
    <w:rsid w:val="00C77D55"/>
    <w:rsid w:val="00C80574"/>
    <w:rsid w:val="00C8302C"/>
    <w:rsid w:val="00C9379A"/>
    <w:rsid w:val="00CA69EB"/>
    <w:rsid w:val="00CA7264"/>
    <w:rsid w:val="00CB163C"/>
    <w:rsid w:val="00CB1BF8"/>
    <w:rsid w:val="00CC69F8"/>
    <w:rsid w:val="00CD44FE"/>
    <w:rsid w:val="00CD673A"/>
    <w:rsid w:val="00CE2D04"/>
    <w:rsid w:val="00CE4C9D"/>
    <w:rsid w:val="00CF0980"/>
    <w:rsid w:val="00CF1DAF"/>
    <w:rsid w:val="00CF2DB9"/>
    <w:rsid w:val="00D044A3"/>
    <w:rsid w:val="00D051BA"/>
    <w:rsid w:val="00D06BC6"/>
    <w:rsid w:val="00D11EC4"/>
    <w:rsid w:val="00D14AEA"/>
    <w:rsid w:val="00D318A7"/>
    <w:rsid w:val="00D36B55"/>
    <w:rsid w:val="00D44414"/>
    <w:rsid w:val="00D44BC0"/>
    <w:rsid w:val="00D46665"/>
    <w:rsid w:val="00D476E0"/>
    <w:rsid w:val="00D5557A"/>
    <w:rsid w:val="00D557DA"/>
    <w:rsid w:val="00D56CB3"/>
    <w:rsid w:val="00D60044"/>
    <w:rsid w:val="00D60F05"/>
    <w:rsid w:val="00D65779"/>
    <w:rsid w:val="00D66904"/>
    <w:rsid w:val="00D705BD"/>
    <w:rsid w:val="00D81FE5"/>
    <w:rsid w:val="00D85DE8"/>
    <w:rsid w:val="00D8626C"/>
    <w:rsid w:val="00D86942"/>
    <w:rsid w:val="00D86E8D"/>
    <w:rsid w:val="00D91133"/>
    <w:rsid w:val="00D94956"/>
    <w:rsid w:val="00DA0798"/>
    <w:rsid w:val="00DA09F9"/>
    <w:rsid w:val="00DA1445"/>
    <w:rsid w:val="00DB3961"/>
    <w:rsid w:val="00DB6A10"/>
    <w:rsid w:val="00DC096D"/>
    <w:rsid w:val="00DC3A1B"/>
    <w:rsid w:val="00DD4F45"/>
    <w:rsid w:val="00DE126A"/>
    <w:rsid w:val="00DE33DF"/>
    <w:rsid w:val="00DE60B1"/>
    <w:rsid w:val="00DF1341"/>
    <w:rsid w:val="00DF284F"/>
    <w:rsid w:val="00DF79AF"/>
    <w:rsid w:val="00E00791"/>
    <w:rsid w:val="00E0359B"/>
    <w:rsid w:val="00E06C2D"/>
    <w:rsid w:val="00E12635"/>
    <w:rsid w:val="00E13203"/>
    <w:rsid w:val="00E15230"/>
    <w:rsid w:val="00E24D1B"/>
    <w:rsid w:val="00E253FF"/>
    <w:rsid w:val="00E3630A"/>
    <w:rsid w:val="00E37A79"/>
    <w:rsid w:val="00E4492D"/>
    <w:rsid w:val="00E50A18"/>
    <w:rsid w:val="00E52DFD"/>
    <w:rsid w:val="00E53170"/>
    <w:rsid w:val="00E62135"/>
    <w:rsid w:val="00E635E1"/>
    <w:rsid w:val="00E70E8B"/>
    <w:rsid w:val="00E7726B"/>
    <w:rsid w:val="00E8190D"/>
    <w:rsid w:val="00E870DA"/>
    <w:rsid w:val="00E873E8"/>
    <w:rsid w:val="00E92B72"/>
    <w:rsid w:val="00E9373C"/>
    <w:rsid w:val="00E97143"/>
    <w:rsid w:val="00EA1599"/>
    <w:rsid w:val="00EB7657"/>
    <w:rsid w:val="00EC36A7"/>
    <w:rsid w:val="00EC496A"/>
    <w:rsid w:val="00EC7333"/>
    <w:rsid w:val="00EE0AA5"/>
    <w:rsid w:val="00EE266B"/>
    <w:rsid w:val="00EE361B"/>
    <w:rsid w:val="00EE379F"/>
    <w:rsid w:val="00EE5CB4"/>
    <w:rsid w:val="00EF20DE"/>
    <w:rsid w:val="00EF5981"/>
    <w:rsid w:val="00EF6FDA"/>
    <w:rsid w:val="00F006D1"/>
    <w:rsid w:val="00F123FE"/>
    <w:rsid w:val="00F138A3"/>
    <w:rsid w:val="00F13ED1"/>
    <w:rsid w:val="00F14747"/>
    <w:rsid w:val="00F16FDB"/>
    <w:rsid w:val="00F229C0"/>
    <w:rsid w:val="00F246E5"/>
    <w:rsid w:val="00F261F6"/>
    <w:rsid w:val="00F336AF"/>
    <w:rsid w:val="00F37521"/>
    <w:rsid w:val="00F401FD"/>
    <w:rsid w:val="00F4184B"/>
    <w:rsid w:val="00F45EA3"/>
    <w:rsid w:val="00F524D9"/>
    <w:rsid w:val="00F53383"/>
    <w:rsid w:val="00F557B9"/>
    <w:rsid w:val="00F56ACB"/>
    <w:rsid w:val="00F6400F"/>
    <w:rsid w:val="00F64E46"/>
    <w:rsid w:val="00F733EE"/>
    <w:rsid w:val="00F75DF7"/>
    <w:rsid w:val="00F7722A"/>
    <w:rsid w:val="00F87808"/>
    <w:rsid w:val="00F90339"/>
    <w:rsid w:val="00FA1A9F"/>
    <w:rsid w:val="00FA2516"/>
    <w:rsid w:val="00FA2A17"/>
    <w:rsid w:val="00FA3CA9"/>
    <w:rsid w:val="00FA5A79"/>
    <w:rsid w:val="00FA5A89"/>
    <w:rsid w:val="00FB31BA"/>
    <w:rsid w:val="00FB3FBD"/>
    <w:rsid w:val="00FB4E05"/>
    <w:rsid w:val="00FB7B78"/>
    <w:rsid w:val="00FC2AE3"/>
    <w:rsid w:val="00FC5BDC"/>
    <w:rsid w:val="00FC6D98"/>
    <w:rsid w:val="00FD33FC"/>
    <w:rsid w:val="00FD69C9"/>
    <w:rsid w:val="00FE2793"/>
    <w:rsid w:val="00FE3297"/>
    <w:rsid w:val="00FE511C"/>
    <w:rsid w:val="00FE5846"/>
    <w:rsid w:val="00FF28CC"/>
    <w:rsid w:val="00FF5412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5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2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E0B"/>
  </w:style>
  <w:style w:type="paragraph" w:styleId="CommentSubject">
    <w:name w:val="annotation subject"/>
    <w:basedOn w:val="CommentText"/>
    <w:next w:val="CommentText"/>
    <w:link w:val="CommentSubjectChar"/>
    <w:rsid w:val="00B02E0B"/>
    <w:rPr>
      <w:b/>
      <w:bCs/>
    </w:rPr>
  </w:style>
  <w:style w:type="character" w:customStyle="1" w:styleId="CommentSubjectChar">
    <w:name w:val="Comment Subject Char"/>
    <w:link w:val="CommentSubject"/>
    <w:rsid w:val="00B02E0B"/>
    <w:rPr>
      <w:b/>
      <w:bCs/>
    </w:rPr>
  </w:style>
  <w:style w:type="paragraph" w:styleId="Footer">
    <w:name w:val="footer"/>
    <w:basedOn w:val="Normal"/>
    <w:link w:val="FooterChar"/>
    <w:rsid w:val="008E7E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7E34"/>
    <w:rPr>
      <w:sz w:val="24"/>
      <w:szCs w:val="24"/>
      <w:lang w:val="en-GB" w:eastAsia="en-GB"/>
    </w:rPr>
  </w:style>
  <w:style w:type="character" w:customStyle="1" w:styleId="kurziv">
    <w:name w:val="kurziv"/>
    <w:rsid w:val="00E4492D"/>
  </w:style>
  <w:style w:type="paragraph" w:customStyle="1" w:styleId="t-9">
    <w:name w:val="t-9"/>
    <w:basedOn w:val="Normal"/>
    <w:rsid w:val="00E4492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41F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1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481A-1E24-4F46-9E81-C1687C3C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3454</Characters>
  <Application>Microsoft Office Word</Application>
  <DocSecurity>0</DocSecurity>
  <Lines>132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2019-01-08T14:08:00Z</dcterms:created>
  <dcterms:modified xsi:type="dcterms:W3CDTF">2019-01-08T14:08:00Z</dcterms:modified>
</cp:coreProperties>
</file>