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6D" w:rsidRPr="00E35277" w:rsidRDefault="00B6616D" w:rsidP="006F4848">
      <w:pPr>
        <w:jc w:val="right"/>
        <w:rPr>
          <w:lang w:val="sr-Cyrl-RS"/>
        </w:rPr>
      </w:pPr>
      <w:bookmarkStart w:id="0" w:name="_GoBack"/>
      <w:bookmarkEnd w:id="0"/>
      <w:r w:rsidRPr="00E35277">
        <w:rPr>
          <w:rFonts w:ascii="Arial" w:hAnsi="Arial" w:cs="Arial"/>
          <w:b/>
          <w:sz w:val="28"/>
          <w:szCs w:val="28"/>
          <w:lang w:val="sr-Cyrl-RS"/>
        </w:rPr>
        <w:t>Прилог 1</w:t>
      </w:r>
    </w:p>
    <w:p w:rsidR="00B6616D" w:rsidRPr="00E35277" w:rsidRDefault="00B6616D" w:rsidP="006F4848">
      <w:pPr>
        <w:pStyle w:val="Naslov1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35277">
        <w:rPr>
          <w:rFonts w:ascii="Arial" w:hAnsi="Arial" w:cs="Arial"/>
          <w:b/>
          <w:sz w:val="28"/>
          <w:szCs w:val="28"/>
          <w:lang w:val="sr-Cyrl-RS"/>
        </w:rPr>
        <w:t>ФИНАНСИЈСКИ ДЕРИВАТИ</w:t>
      </w:r>
    </w:p>
    <w:p w:rsidR="00B6616D" w:rsidRPr="00E35277" w:rsidRDefault="00B6616D" w:rsidP="006F4848">
      <w:pPr>
        <w:pStyle w:val="Default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1.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Уговори о каматним стопама:</w:t>
      </w:r>
    </w:p>
    <w:p w:rsidR="00B6616D" w:rsidRPr="00E35277" w:rsidRDefault="00B6616D" w:rsidP="006F4848">
      <w:pPr>
        <w:pStyle w:val="Default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једновалутни каматни свопови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single-currency interest rate swaps</w:t>
      </w:r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базични свопови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basis swaps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каматни форвард уговори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forward rate agreements</w:t>
      </w:r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каматни фјучерс уговори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interest rate futures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купљене опције на каматне стопе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остали слични уговори.</w:t>
      </w:r>
    </w:p>
    <w:p w:rsidR="00B6616D" w:rsidRPr="00E35277" w:rsidRDefault="00B6616D" w:rsidP="006F4848">
      <w:pPr>
        <w:ind w:firstLine="1418"/>
        <w:jc w:val="both"/>
        <w:rPr>
          <w:rFonts w:ascii="Arial" w:hAnsi="Arial" w:cs="Arial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2.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Уговори о страним валутама и злату: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међувалутни каматни свопови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cross-currency interest rate swaps</w:t>
      </w:r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валутни форвард уговори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forward foreign-exchange contracts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валутни фјучерс уговори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currency futures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купљене валутне опције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остали слични уговори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уговори који се односе на злато слични уговорима из алинеја од прве до пете ов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ог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дела</w:t>
      </w:r>
      <w:r w:rsidRPr="00E35277">
        <w:rPr>
          <w:rFonts w:ascii="Arial" w:hAnsi="Arial" w:cs="Arial"/>
          <w:sz w:val="28"/>
          <w:szCs w:val="28"/>
          <w:lang w:val="sr-Cyrl-RS"/>
        </w:rPr>
        <w:t>.</w:t>
      </w:r>
    </w:p>
    <w:p w:rsidR="00B6616D" w:rsidRPr="00E35277" w:rsidRDefault="00B6616D" w:rsidP="006F4848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3.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Уговори чије су карактеристике сличне уговорима из </w:t>
      </w:r>
      <w:r w:rsidR="00E35277">
        <w:rPr>
          <w:rFonts w:ascii="Arial" w:hAnsi="Arial" w:cs="Arial"/>
          <w:sz w:val="28"/>
          <w:szCs w:val="28"/>
          <w:lang w:val="sr-Cyrl-RS"/>
        </w:rPr>
        <w:t>делова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1. и 2. овог прилога а односе се на друге предмете уговора, укључујући и индексе: </w:t>
      </w:r>
    </w:p>
    <w:p w:rsidR="00B6616D" w:rsidRPr="00E35277" w:rsidRDefault="00B6616D" w:rsidP="006F4848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фјучерс уговори, своп уговори, форвард уговори и сви други уговори који се односе на хартије од вредности, стране валуте, каматне стопе, приносе или друге финансијске деривате, берзанске индексе или друге сличне инструменте а </w:t>
      </w:r>
      <w:r w:rsidR="005E621B" w:rsidRPr="00E35277">
        <w:rPr>
          <w:rFonts w:ascii="Arial" w:hAnsi="Arial" w:cs="Arial"/>
          <w:sz w:val="28"/>
          <w:szCs w:val="28"/>
          <w:lang w:val="sr-Cyrl-RS"/>
        </w:rPr>
        <w:t xml:space="preserve">који </w:t>
      </w:r>
      <w:r w:rsidRPr="00E35277">
        <w:rPr>
          <w:rFonts w:ascii="Arial" w:hAnsi="Arial" w:cs="Arial"/>
          <w:sz w:val="28"/>
          <w:szCs w:val="28"/>
          <w:lang w:val="sr-Cyrl-RS"/>
        </w:rPr>
        <w:t>могу бити измирени физичком испоруком или у готовини;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опције, фјучерс уговори, своп уговори, форвард уговори и сви други уговори који се односе на робу а треба да буду измирени у готовини или могу бити измирени у готовини на захтев једне од уговорних страна;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опције, фјучерс уговори, своп уговори и сви други уговори који се односе на робу а могу бити измирени физичком испоруком, под условом да се њима тргује на признатој берзи или преко мултилатералног система трговања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multilateral trading facilities</w:t>
      </w:r>
      <w:r w:rsidRPr="00E35277">
        <w:rPr>
          <w:rFonts w:ascii="Arial" w:hAnsi="Arial" w:cs="Arial"/>
          <w:sz w:val="28"/>
          <w:szCs w:val="28"/>
          <w:lang w:val="sr-Cyrl-RS"/>
        </w:rPr>
        <w:t>);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опције, фјучерс уговори, своп уговори, форвард уговори и сви други уговори који се односе на робу</w:t>
      </w:r>
      <w:r w:rsidR="005E621B" w:rsidRPr="00E35277">
        <w:rPr>
          <w:rFonts w:ascii="Arial" w:hAnsi="Arial" w:cs="Arial"/>
          <w:sz w:val="28"/>
          <w:szCs w:val="28"/>
          <w:lang w:val="sr-Cyrl-RS"/>
        </w:rPr>
        <w:t xml:space="preserve"> и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који могу бити измирени </w:t>
      </w:r>
      <w:r w:rsidRPr="00E35277">
        <w:rPr>
          <w:rFonts w:ascii="Arial" w:hAnsi="Arial" w:cs="Arial"/>
          <w:sz w:val="28"/>
          <w:szCs w:val="28"/>
          <w:lang w:val="sr-Cyrl-RS"/>
        </w:rPr>
        <w:lastRenderedPageBreak/>
        <w:t>физичком испоруком a нису обухваћени алинејом трећом ов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ог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  <w:r w:rsidR="00E35277">
        <w:rPr>
          <w:rFonts w:ascii="Arial" w:hAnsi="Arial" w:cs="Arial"/>
          <w:sz w:val="28"/>
          <w:szCs w:val="28"/>
          <w:lang w:val="sr-Cyrl-RS"/>
        </w:rPr>
        <w:t>дела</w:t>
      </w:r>
      <w:r w:rsidRPr="00E35277">
        <w:rPr>
          <w:rFonts w:ascii="Arial" w:hAnsi="Arial" w:cs="Arial"/>
          <w:sz w:val="28"/>
          <w:szCs w:val="28"/>
          <w:lang w:val="sr-Cyrl-RS"/>
        </w:rPr>
        <w:t>, којима се не тргује у комерцијалне сврхе, који имају карактеристике других финансијских деривата и чије се поравнање може вршити преко признате клириншке куће или су предмет дневног одмеравања маргина;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финансијски уговори за разлике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financial contract for differences</w:t>
      </w:r>
      <w:r w:rsidRPr="00E35277">
        <w:rPr>
          <w:rFonts w:ascii="Arial" w:hAnsi="Arial" w:cs="Arial"/>
          <w:sz w:val="28"/>
          <w:szCs w:val="28"/>
          <w:lang w:val="sr-Cyrl-RS"/>
        </w:rPr>
        <w:t>);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опције, фјучерс уговори, своп уговори, форвард уговори и сви други уговори који се односе на временске услове, трошкове превоза терета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freight rates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), стопе инфлације или друге економске показатеље а </w:t>
      </w:r>
      <w:r w:rsidR="007F07CA" w:rsidRPr="00E35277">
        <w:rPr>
          <w:rFonts w:ascii="Arial" w:hAnsi="Arial" w:cs="Arial"/>
          <w:sz w:val="28"/>
          <w:szCs w:val="28"/>
          <w:lang w:val="sr-Cyrl-RS"/>
        </w:rPr>
        <w:t xml:space="preserve">који </w:t>
      </w:r>
      <w:r w:rsidRPr="00E35277">
        <w:rPr>
          <w:rFonts w:ascii="Arial" w:hAnsi="Arial" w:cs="Arial"/>
          <w:sz w:val="28"/>
          <w:szCs w:val="28"/>
          <w:lang w:val="sr-Cyrl-RS"/>
        </w:rPr>
        <w:t>морају бити измирени у готовини или могу бити измирени у готовини на захтев једне од уговорних страна;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сви други финансијски деривати који се односе на имовину, права, обавезе, индексе и сличне инструменте који нису обухваћени алинејама од прве до шесте </w:t>
      </w:r>
      <w:r w:rsidR="00E35277">
        <w:rPr>
          <w:rFonts w:ascii="Arial" w:hAnsi="Arial" w:cs="Arial"/>
          <w:sz w:val="28"/>
          <w:szCs w:val="28"/>
          <w:lang w:val="sr-Cyrl-RS"/>
        </w:rPr>
        <w:t>овог дела</w:t>
      </w:r>
      <w:r w:rsidRPr="00E35277">
        <w:rPr>
          <w:rFonts w:ascii="Arial" w:hAnsi="Arial" w:cs="Arial"/>
          <w:sz w:val="28"/>
          <w:szCs w:val="28"/>
          <w:lang w:val="sr-Cyrl-RS"/>
        </w:rPr>
        <w:t>, којима се тргује на признатој берзи или преко мултилатералног система трговања (</w:t>
      </w:r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multilateral trading facilities</w:t>
      </w:r>
      <w:r w:rsidRPr="00E35277">
        <w:rPr>
          <w:rFonts w:ascii="Arial" w:hAnsi="Arial" w:cs="Arial"/>
          <w:sz w:val="28"/>
          <w:szCs w:val="28"/>
          <w:lang w:val="sr-Cyrl-RS"/>
        </w:rPr>
        <w:t>) и чије се поравнање врши преко признате клириншке куће или су предмет дневног одмеравања маргина.</w:t>
      </w:r>
    </w:p>
    <w:p w:rsidR="00B6616D" w:rsidRPr="00E35277" w:rsidRDefault="00B6616D" w:rsidP="006F4848">
      <w:pPr>
        <w:rPr>
          <w:lang w:val="sr-Cyrl-RS"/>
        </w:rPr>
      </w:pPr>
    </w:p>
    <w:p w:rsidR="00B6616D" w:rsidRPr="00E35277" w:rsidRDefault="00B6616D" w:rsidP="006F4848">
      <w:pPr>
        <w:rPr>
          <w:lang w:val="sr-Cyrl-RS"/>
        </w:rPr>
      </w:pPr>
    </w:p>
    <w:p w:rsidR="00BD68CD" w:rsidRPr="00E35277" w:rsidRDefault="00BD68CD" w:rsidP="006F4848">
      <w:pPr>
        <w:rPr>
          <w:lang w:val="sr-Cyrl-RS"/>
        </w:rPr>
      </w:pPr>
    </w:p>
    <w:sectPr w:rsidR="00BD68CD" w:rsidRPr="00E35277" w:rsidSect="006F4848"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CC2" w:rsidRDefault="00372CC2" w:rsidP="00372CC2">
      <w:r>
        <w:separator/>
      </w:r>
    </w:p>
  </w:endnote>
  <w:endnote w:type="continuationSeparator" w:id="0">
    <w:p w:rsidR="00372CC2" w:rsidRDefault="00372CC2" w:rsidP="0037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CC2" w:rsidRDefault="00372CC2" w:rsidP="00372CC2">
      <w:r>
        <w:separator/>
      </w:r>
    </w:p>
  </w:footnote>
  <w:footnote w:type="continuationSeparator" w:id="0">
    <w:p w:rsidR="00372CC2" w:rsidRDefault="00372CC2" w:rsidP="0037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C1ED1"/>
    <w:multiLevelType w:val="hybridMultilevel"/>
    <w:tmpl w:val="C3867C6E"/>
    <w:lvl w:ilvl="0" w:tplc="5AC6F2A4">
      <w:start w:val="4"/>
      <w:numFmt w:val="bullet"/>
      <w:lvlText w:val="–"/>
      <w:lvlJc w:val="left"/>
      <w:pPr>
        <w:tabs>
          <w:tab w:val="num" w:pos="1350"/>
        </w:tabs>
        <w:ind w:left="1350" w:hanging="45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6D"/>
    <w:rsid w:val="00372CC2"/>
    <w:rsid w:val="005E621B"/>
    <w:rsid w:val="006F4848"/>
    <w:rsid w:val="007F07CA"/>
    <w:rsid w:val="00B6616D"/>
    <w:rsid w:val="00BD68CD"/>
    <w:rsid w:val="00E35277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83A81-2500-4CD6-AF33-172A4582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slov1">
    <w:name w:val="Naslov 1"/>
    <w:basedOn w:val="Default"/>
    <w:next w:val="Default"/>
    <w:rsid w:val="00B6616D"/>
    <w:pPr>
      <w:spacing w:before="44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2364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Nešić</dc:creator>
  <cp:keywords>[SEC=JAVNO]</cp:keywords>
  <cp:lastModifiedBy>Sladjana Boskovic</cp:lastModifiedBy>
  <cp:revision>2</cp:revision>
  <dcterms:created xsi:type="dcterms:W3CDTF">2019-12-16T10:11:00Z</dcterms:created>
  <dcterms:modified xsi:type="dcterms:W3CDTF">2019-12-16T10:11:00Z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A3520B79D55AB7BCEFFBD92EB16193151953B341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2A2F7F9863C108FA3C180B9E22D28F2BB3A7874C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9A7C90AE11E24B9AA99FF7FEB83D8E4F</vt:lpwstr>
  </property>
  <property fmtid="{D5CDD505-2E9C-101B-9397-08002B2CF9AE}" pid="16" name="PM_OriginationTimeStamp">
    <vt:lpwstr>2019-12-16T10:11:25Z</vt:lpwstr>
  </property>
  <property fmtid="{D5CDD505-2E9C-101B-9397-08002B2CF9AE}" pid="17" name="PM_Hash_Version">
    <vt:lpwstr>2016.1</vt:lpwstr>
  </property>
  <property fmtid="{D5CDD505-2E9C-101B-9397-08002B2CF9AE}" pid="18" name="PM_Hash_Salt_Prev">
    <vt:lpwstr>5256BB4A96F3E8DFC025705578A51611</vt:lpwstr>
  </property>
  <property fmtid="{D5CDD505-2E9C-101B-9397-08002B2CF9AE}" pid="19" name="PM_Hash_Salt">
    <vt:lpwstr>5256BB4A96F3E8DFC025705578A51611</vt:lpwstr>
  </property>
</Properties>
</file>