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49FF" w14:textId="77777777" w:rsidR="00123AFE" w:rsidRDefault="00123AFE" w:rsidP="001D4A4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C59A9A3" w14:textId="77777777" w:rsidR="001D4A49" w:rsidRPr="00ED6F13" w:rsidRDefault="00554BA0" w:rsidP="001D4A49">
      <w:pPr>
        <w:jc w:val="center"/>
        <w:rPr>
          <w:rFonts w:ascii="Arial" w:hAnsi="Arial" w:cs="Arial"/>
          <w:b/>
          <w:caps/>
          <w:sz w:val="28"/>
          <w:szCs w:val="28"/>
          <w:lang w:val="sr-Cyrl-RS"/>
        </w:rPr>
      </w:pPr>
      <w:r w:rsidRPr="00ED6F13">
        <w:rPr>
          <w:rFonts w:ascii="Arial" w:hAnsi="Arial" w:cs="Arial"/>
          <w:b/>
          <w:sz w:val="28"/>
          <w:szCs w:val="28"/>
          <w:lang w:val="sr-Cyrl-RS"/>
        </w:rPr>
        <w:t xml:space="preserve">УПУТСТВО О </w:t>
      </w:r>
      <w:r w:rsidR="001D4A49" w:rsidRPr="00ED6F13">
        <w:rPr>
          <w:rFonts w:ascii="Arial" w:hAnsi="Arial" w:cs="Arial"/>
          <w:b/>
          <w:sz w:val="28"/>
          <w:szCs w:val="28"/>
          <w:lang w:val="sr-Cyrl-RS"/>
        </w:rPr>
        <w:t>ФОРМ</w:t>
      </w:r>
      <w:r w:rsidRPr="00ED6F13">
        <w:rPr>
          <w:rFonts w:ascii="Arial" w:hAnsi="Arial" w:cs="Arial"/>
          <w:b/>
          <w:sz w:val="28"/>
          <w:szCs w:val="28"/>
          <w:lang w:val="sr-Cyrl-RS"/>
        </w:rPr>
        <w:t>И</w:t>
      </w:r>
      <w:r w:rsidR="001D4A49" w:rsidRPr="00ED6F13">
        <w:rPr>
          <w:rFonts w:ascii="Arial" w:hAnsi="Arial" w:cs="Arial"/>
          <w:b/>
          <w:sz w:val="28"/>
          <w:szCs w:val="28"/>
          <w:lang w:val="sr-Cyrl-RS"/>
        </w:rPr>
        <w:t>, САДРЖАЈ</w:t>
      </w:r>
      <w:r w:rsidRPr="00ED6F13">
        <w:rPr>
          <w:rFonts w:ascii="Arial" w:hAnsi="Arial" w:cs="Arial"/>
          <w:b/>
          <w:sz w:val="28"/>
          <w:szCs w:val="28"/>
          <w:lang w:val="sr-Cyrl-RS"/>
        </w:rPr>
        <w:t>У</w:t>
      </w:r>
      <w:r w:rsidR="001D4A49" w:rsidRPr="00ED6F13">
        <w:rPr>
          <w:rFonts w:ascii="Arial" w:hAnsi="Arial" w:cs="Arial"/>
          <w:b/>
          <w:sz w:val="28"/>
          <w:szCs w:val="28"/>
          <w:lang w:val="sr-Cyrl-RS"/>
        </w:rPr>
        <w:t xml:space="preserve"> И НАЧИН</w:t>
      </w:r>
      <w:r w:rsidRPr="00ED6F13">
        <w:rPr>
          <w:rFonts w:ascii="Arial" w:hAnsi="Arial" w:cs="Arial"/>
          <w:b/>
          <w:sz w:val="28"/>
          <w:szCs w:val="28"/>
          <w:lang w:val="sr-Cyrl-RS"/>
        </w:rPr>
        <w:t>У</w:t>
      </w:r>
      <w:r w:rsidR="001D4A49" w:rsidRPr="00ED6F13">
        <w:rPr>
          <w:rFonts w:ascii="Arial" w:hAnsi="Arial" w:cs="Arial"/>
          <w:b/>
          <w:sz w:val="28"/>
          <w:szCs w:val="28"/>
          <w:lang w:val="sr-Cyrl-RS"/>
        </w:rPr>
        <w:t xml:space="preserve"> ПОПУЊАВАЊА ЕЛЕМЕНАТА ОБРАСЦА </w:t>
      </w:r>
      <w:r w:rsidR="001D4A49" w:rsidRPr="00ED6F13">
        <w:rPr>
          <w:rFonts w:ascii="Arial" w:hAnsi="Arial" w:cs="Arial"/>
          <w:b/>
          <w:caps/>
          <w:sz w:val="28"/>
          <w:szCs w:val="28"/>
          <w:lang w:val="sr-Cyrl-RS"/>
        </w:rPr>
        <w:t xml:space="preserve">прегледа услуга и накнада повезаних с платним рачуном </w:t>
      </w:r>
    </w:p>
    <w:p w14:paraId="06CD93C8" w14:textId="77777777" w:rsidR="001D4A49" w:rsidRPr="00ED6F13" w:rsidRDefault="001D4A49" w:rsidP="001B1563">
      <w:pPr>
        <w:spacing w:after="240"/>
        <w:jc w:val="center"/>
        <w:rPr>
          <w:rFonts w:ascii="Arial" w:hAnsi="Arial" w:cs="Arial"/>
          <w:caps/>
          <w:sz w:val="28"/>
          <w:szCs w:val="28"/>
          <w:lang w:val="sr-Cyrl-RS"/>
        </w:rPr>
      </w:pPr>
    </w:p>
    <w:p w14:paraId="17AB10AA" w14:textId="77777777" w:rsidR="001D4A49" w:rsidRPr="00ED6F13" w:rsidRDefault="001D4A49" w:rsidP="00B12B5D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Пружалац платних услуга дужан је да при попуњавању </w:t>
      </w:r>
      <w:r w:rsidRPr="00ED6F13">
        <w:rPr>
          <w:rFonts w:ascii="Arial" w:eastAsia="Calibri" w:hAnsi="Arial"/>
          <w:sz w:val="28"/>
          <w:lang w:val="sr-Cyrl-RS"/>
        </w:rPr>
        <w:t>одговарајућег обрасца</w:t>
      </w:r>
      <w:r w:rsidRPr="00ED6F13">
        <w:rPr>
          <w:rFonts w:ascii="Calibri" w:eastAsia="Calibri" w:hAnsi="Calibri"/>
          <w:lang w:val="sr-Cyrl-RS"/>
        </w:rPr>
        <w:t xml:space="preserve">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из </w:t>
      </w:r>
      <w:r w:rsidR="00422E1D" w:rsidRPr="00ED6F13">
        <w:rPr>
          <w:rFonts w:ascii="Arial" w:eastAsia="Times New Roman" w:hAnsi="Arial" w:cs="Times New Roman"/>
          <w:sz w:val="28"/>
          <w:szCs w:val="24"/>
          <w:lang w:val="sr-Cyrl-RS"/>
        </w:rPr>
        <w:t>п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рилога 1 и 2 ове одлуке (у даљем тексту: образац ПУН) примењује следећа правила о форми, садржају и начину попуњавања елемената тих образаца.</w:t>
      </w:r>
    </w:p>
    <w:p w14:paraId="18AAF54B" w14:textId="77777777" w:rsidR="001D4A49" w:rsidRPr="00ED6F13" w:rsidRDefault="001D4A49" w:rsidP="00B12B5D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При попуњавању обрасца ПУН пружалац платних услуга не може мењати </w:t>
      </w:r>
      <w:r w:rsid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његову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форму, нити садржину предефинисаних поља у обрасцу ПУН. </w:t>
      </w:r>
    </w:p>
    <w:p w14:paraId="7191062D" w14:textId="44548EFA" w:rsidR="001D4A49" w:rsidRPr="00ED6F13" w:rsidRDefault="001D4A49" w:rsidP="00B12B5D">
      <w:pPr>
        <w:spacing w:after="240" w:line="240" w:lineRule="auto"/>
        <w:ind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Изузетно од става 1. ове тачке</w:t>
      </w:r>
      <w:r w:rsidR="00ED6F13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ако пружалац платних услуга кориснику платних услуга </w:t>
      </w:r>
      <w:r w:rsidR="00ED6F1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доставља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образац ПУН у електронском облику, уз услов да </w:t>
      </w:r>
      <w:r w:rsidR="00ED6F13">
        <w:rPr>
          <w:rFonts w:ascii="Arial" w:eastAsia="Times New Roman" w:hAnsi="Arial" w:cs="Times New Roman"/>
          <w:sz w:val="28"/>
          <w:szCs w:val="24"/>
          <w:lang w:val="sr-Cyrl-RS"/>
        </w:rPr>
        <w:t>му</w:t>
      </w:r>
      <w:r w:rsidR="00ED6F1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истовремено достави и примерак обрасца ПУН у складу с чланом 73г ст. 3. и 4. Закона о платним услугама, пружалац платних услуга </w:t>
      </w:r>
      <w:r w:rsidR="00A464F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може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у </w:t>
      </w:r>
      <w:r w:rsidR="00A464F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обрасцу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ПУН у електронском облику употребљавати електронске алате, као што су слојеви (</w:t>
      </w:r>
      <w:r w:rsidR="00A464F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енг. </w:t>
      </w:r>
      <w:r w:rsidRPr="00ED6F13">
        <w:rPr>
          <w:rFonts w:ascii="Arial" w:eastAsia="Times New Roman" w:hAnsi="Arial" w:cs="Times New Roman"/>
          <w:i/>
          <w:sz w:val="28"/>
          <w:szCs w:val="24"/>
          <w:lang w:val="sr-Cyrl-RS"/>
        </w:rPr>
        <w:t>layering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) и прозори који искачу (</w:t>
      </w:r>
      <w:r w:rsidR="00A464F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енг. </w:t>
      </w:r>
      <w:r w:rsidRPr="00ED6F13">
        <w:rPr>
          <w:rFonts w:ascii="Arial" w:eastAsia="Times New Roman" w:hAnsi="Arial" w:cs="Times New Roman"/>
          <w:i/>
          <w:sz w:val="28"/>
          <w:szCs w:val="24"/>
          <w:lang w:val="sr-Cyrl-RS"/>
        </w:rPr>
        <w:t>pop-ups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), уз услов да се видљиво приказују назив обрасца ПУН, заједнички симбол, уводне напомене, називи колона и нумерисаних редова и да редослед информација остане исти.</w:t>
      </w:r>
    </w:p>
    <w:p w14:paraId="63A6D492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hAnsi="Arial" w:cs="Arial"/>
          <w:sz w:val="28"/>
          <w:szCs w:val="28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Образац ПУН мора:</w:t>
      </w:r>
    </w:p>
    <w:p w14:paraId="1235D85B" w14:textId="53E5C898" w:rsidR="001D4A49" w:rsidRPr="00ED6F13" w:rsidRDefault="00123AFE" w:rsidP="004B334E">
      <w:pPr>
        <w:pStyle w:val="ListParagraph"/>
        <w:spacing w:after="240" w:line="240" w:lineRule="auto"/>
        <w:contextualSpacing w:val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</w:rPr>
        <w:tab/>
      </w:r>
      <w:r w:rsidR="00130463">
        <w:rPr>
          <w:rFonts w:ascii="Arial" w:hAnsi="Arial" w:cs="Arial"/>
          <w:sz w:val="28"/>
          <w:szCs w:val="28"/>
          <w:lang w:val="sr-Cyrl-RS"/>
        </w:rPr>
        <w:t>а)</w:t>
      </w:r>
      <w:r w:rsidR="00130463">
        <w:rPr>
          <w:rFonts w:ascii="Arial" w:hAnsi="Arial" w:cs="Arial"/>
          <w:sz w:val="28"/>
          <w:szCs w:val="28"/>
        </w:rPr>
        <w:tab/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бити приказан у формату А4, </w:t>
      </w:r>
      <w:r w:rsidR="00FF75F9" w:rsidRPr="00ED6F13">
        <w:rPr>
          <w:rFonts w:ascii="Arial" w:hAnsi="Arial" w:cs="Arial"/>
          <w:sz w:val="28"/>
          <w:szCs w:val="28"/>
          <w:lang w:val="sr-Cyrl-RS"/>
        </w:rPr>
        <w:t>вертикално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 постављен;</w:t>
      </w:r>
    </w:p>
    <w:p w14:paraId="36B9E371" w14:textId="5F2EA0A5" w:rsidR="001D4A49" w:rsidRPr="00ED6F13" w:rsidRDefault="00123AFE" w:rsidP="00123AFE">
      <w:pPr>
        <w:pStyle w:val="ListParagraph"/>
        <w:spacing w:after="24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30463">
        <w:rPr>
          <w:rFonts w:ascii="Arial" w:hAnsi="Arial" w:cs="Arial"/>
          <w:sz w:val="28"/>
          <w:szCs w:val="28"/>
          <w:lang w:val="sr-Cyrl-RS"/>
        </w:rPr>
        <w:t>б)</w:t>
      </w:r>
      <w:r w:rsidR="00130463">
        <w:rPr>
          <w:rFonts w:ascii="Arial" w:hAnsi="Arial" w:cs="Arial"/>
          <w:sz w:val="28"/>
          <w:szCs w:val="28"/>
        </w:rPr>
        <w:tab/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на врху прве странице садржати наслов „ПРЕГЛЕД УСЛУГА И НАКНАДА за корисника платних услуга – потрошача“ </w:t>
      </w:r>
      <w:r w:rsidR="00ED6F13">
        <w:rPr>
          <w:rFonts w:ascii="Arial" w:hAnsi="Arial" w:cs="Arial"/>
          <w:sz w:val="28"/>
          <w:szCs w:val="28"/>
          <w:lang w:val="sr-Cyrl-RS"/>
        </w:rPr>
        <w:t>ако</w:t>
      </w:r>
      <w:r w:rsidR="00ED6F13" w:rsidRPr="00ED6F13">
        <w:rPr>
          <w:rFonts w:ascii="Arial" w:hAnsi="Arial" w:cs="Arial"/>
          <w:sz w:val="28"/>
          <w:szCs w:val="28"/>
          <w:lang w:val="sr-Cyrl-RS"/>
        </w:rPr>
        <w:t xml:space="preserve"> 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се односи на образац из Прилога 1 </w:t>
      </w:r>
      <w:r w:rsidR="00422E1D" w:rsidRPr="00ED6F13">
        <w:rPr>
          <w:rFonts w:ascii="Arial" w:hAnsi="Arial" w:cs="Arial"/>
          <w:sz w:val="28"/>
          <w:szCs w:val="28"/>
          <w:lang w:val="sr-Cyrl-RS"/>
        </w:rPr>
        <w:t xml:space="preserve">ове одлуке 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за корисника платних услуга који је потрошач, односно „ПРЕГЛЕД УСЛУГА И НАКНАДА за корисника платних услуга – предузетника/правног лица“ </w:t>
      </w:r>
      <w:r w:rsidR="00ED6F13">
        <w:rPr>
          <w:rFonts w:ascii="Arial" w:hAnsi="Arial" w:cs="Arial"/>
          <w:sz w:val="28"/>
          <w:szCs w:val="28"/>
          <w:lang w:val="sr-Cyrl-RS"/>
        </w:rPr>
        <w:t>ако</w:t>
      </w:r>
      <w:r w:rsidR="00ED6F13" w:rsidRPr="00ED6F13">
        <w:rPr>
          <w:rFonts w:ascii="Arial" w:hAnsi="Arial" w:cs="Arial"/>
          <w:sz w:val="28"/>
          <w:szCs w:val="28"/>
          <w:lang w:val="sr-Cyrl-RS"/>
        </w:rPr>
        <w:t xml:space="preserve"> 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се односи на образац из Прилога 2 </w:t>
      </w:r>
      <w:r w:rsidR="00422E1D" w:rsidRPr="00ED6F13">
        <w:rPr>
          <w:rFonts w:ascii="Arial" w:hAnsi="Arial" w:cs="Arial"/>
          <w:sz w:val="28"/>
          <w:szCs w:val="28"/>
          <w:lang w:val="sr-Cyrl-RS"/>
        </w:rPr>
        <w:t xml:space="preserve">ове одлуке 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за корисника платних услуга који је предузетник и/или правно лице. Ако се образац ПУН из Прилога 2 </w:t>
      </w:r>
      <w:r w:rsidR="00422E1D" w:rsidRPr="00ED6F13">
        <w:rPr>
          <w:rFonts w:ascii="Arial" w:hAnsi="Arial" w:cs="Arial"/>
          <w:sz w:val="28"/>
          <w:szCs w:val="28"/>
          <w:lang w:val="sr-Cyrl-RS"/>
        </w:rPr>
        <w:t xml:space="preserve">ове одлуке 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односи само на предузетнике или </w:t>
      </w:r>
      <w:r w:rsidR="00ED6F13">
        <w:rPr>
          <w:rFonts w:ascii="Arial" w:hAnsi="Arial" w:cs="Arial"/>
          <w:sz w:val="28"/>
          <w:szCs w:val="28"/>
          <w:lang w:val="sr-Cyrl-RS"/>
        </w:rPr>
        <w:t xml:space="preserve">на 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>одређену категорију предузетника, пружалац платних услуга из наслова изоставља</w:t>
      </w:r>
      <w:r w:rsidR="000F784D" w:rsidRPr="00ED6F13">
        <w:rPr>
          <w:rFonts w:ascii="Arial" w:hAnsi="Arial" w:cs="Arial"/>
          <w:sz w:val="28"/>
          <w:szCs w:val="28"/>
          <w:lang w:val="sr-Cyrl-RS"/>
        </w:rPr>
        <w:t xml:space="preserve"> речи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 „правно лице“, односно ако се </w:t>
      </w:r>
      <w:r w:rsidR="00ED6F13">
        <w:rPr>
          <w:rFonts w:ascii="Arial" w:hAnsi="Arial" w:cs="Arial"/>
          <w:sz w:val="28"/>
          <w:szCs w:val="28"/>
          <w:lang w:val="sr-Cyrl-RS"/>
        </w:rPr>
        <w:t xml:space="preserve">тај 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>образац односи само на правна лица или одређену категорију правних лица</w:t>
      </w:r>
      <w:r w:rsidR="000F784D" w:rsidRPr="00ED6F13">
        <w:rPr>
          <w:rFonts w:ascii="Arial" w:hAnsi="Arial" w:cs="Arial"/>
          <w:sz w:val="28"/>
          <w:szCs w:val="28"/>
          <w:lang w:val="sr-Cyrl-RS"/>
        </w:rPr>
        <w:t>,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 пружалац платних услуга из наслова изоставља</w:t>
      </w:r>
      <w:r w:rsidR="000F784D" w:rsidRPr="00ED6F13">
        <w:rPr>
          <w:rFonts w:ascii="Arial" w:hAnsi="Arial" w:cs="Arial"/>
          <w:sz w:val="28"/>
          <w:szCs w:val="28"/>
          <w:lang w:val="sr-Cyrl-RS"/>
        </w:rPr>
        <w:t xml:space="preserve"> реч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 „предузетник“</w:t>
      </w:r>
      <w:r w:rsidR="00ED6F13">
        <w:rPr>
          <w:rFonts w:ascii="Arial" w:hAnsi="Arial" w:cs="Arial"/>
          <w:sz w:val="28"/>
          <w:szCs w:val="28"/>
          <w:lang w:val="sr-Cyrl-RS"/>
        </w:rPr>
        <w:t>; н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>аслов мора бити приказан у средини и између логоа пружаоца платних услуга у горњем левом углу документа и заједничког симбола у горњем десном углу документа;</w:t>
      </w:r>
    </w:p>
    <w:p w14:paraId="14572B5D" w14:textId="74849D56" w:rsidR="001D4A49" w:rsidRPr="00ED6F13" w:rsidRDefault="00123AFE" w:rsidP="00123AFE">
      <w:pPr>
        <w:pStyle w:val="ListParagraph"/>
        <w:spacing w:after="24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RS"/>
        </w:rPr>
        <w:t>в)</w:t>
      </w:r>
      <w:r>
        <w:rPr>
          <w:rFonts w:ascii="Arial" w:hAnsi="Arial" w:cs="Arial"/>
          <w:sz w:val="28"/>
          <w:szCs w:val="28"/>
        </w:rPr>
        <w:tab/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садржати заједнички симбол димензија 2,5 х 2,5 </w:t>
      </w:r>
      <w:r w:rsidR="00B3020C" w:rsidRPr="00ED6F13">
        <w:rPr>
          <w:rFonts w:ascii="Arial" w:hAnsi="Arial" w:cs="Arial"/>
          <w:sz w:val="28"/>
          <w:szCs w:val="28"/>
          <w:lang w:val="sr-Cyrl-RS"/>
        </w:rPr>
        <w:t xml:space="preserve">cm 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 xml:space="preserve">на месту утврђеном у обрасцу ПУН из </w:t>
      </w:r>
      <w:r w:rsidR="00422E1D" w:rsidRPr="00ED6F13">
        <w:rPr>
          <w:rFonts w:ascii="Arial" w:hAnsi="Arial" w:cs="Arial"/>
          <w:sz w:val="28"/>
          <w:szCs w:val="28"/>
          <w:lang w:val="sr-Cyrl-RS"/>
        </w:rPr>
        <w:t>п</w:t>
      </w:r>
      <w:r w:rsidR="001D4A49" w:rsidRPr="00ED6F13">
        <w:rPr>
          <w:rFonts w:ascii="Arial" w:hAnsi="Arial" w:cs="Arial"/>
          <w:sz w:val="28"/>
          <w:szCs w:val="28"/>
          <w:lang w:val="sr-Cyrl-RS"/>
        </w:rPr>
        <w:t>рилога 1 и 2.</w:t>
      </w:r>
    </w:p>
    <w:p w14:paraId="6F2742EF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Тип слова који се користи у обрасцу ПУН је </w:t>
      </w:r>
      <w:r w:rsidRPr="002116B8">
        <w:rPr>
          <w:rFonts w:ascii="Arial" w:eastAsia="Times New Roman" w:hAnsi="Arial" w:cs="Times New Roman"/>
          <w:i/>
          <w:sz w:val="28"/>
          <w:szCs w:val="24"/>
          <w:lang w:val="sr-Cyrl-RS"/>
        </w:rPr>
        <w:t>Arial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. </w:t>
      </w:r>
    </w:p>
    <w:p w14:paraId="503FB4D9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Пружалац платних услуга при упису информација у колону „НАКНАДА“ поштује следеће параметре: проред између редова је једнострук, размак између пасуса 0 pt пре и 6 pt после навођења различитих начина пружања одређене услуге и одговарајуће накнаде.</w:t>
      </w:r>
    </w:p>
    <w:p w14:paraId="3709C392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Величина слова којима пружалац платних услуга попуњава образац ПУН је 11</w:t>
      </w:r>
      <w:r w:rsidR="00564E7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pt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.</w:t>
      </w:r>
    </w:p>
    <w:p w14:paraId="0CA0909C" w14:textId="1AD5CFF5" w:rsidR="001D4A49" w:rsidRPr="00ED6F13" w:rsidRDefault="00130463" w:rsidP="004B334E">
      <w:pPr>
        <w:spacing w:after="240" w:line="240" w:lineRule="auto"/>
        <w:ind w:left="357"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Назив обрасца ПУН „ПРЕГЛЕД УСЛУГА И НАКНАДА за корисника платних услуга </w:t>
      </w:r>
      <w:r w:rsidR="00ED6F13">
        <w:rPr>
          <w:rFonts w:ascii="Arial" w:eastAsia="Times New Roman" w:hAnsi="Arial" w:cs="Times New Roman"/>
          <w:sz w:val="28"/>
          <w:szCs w:val="24"/>
          <w:lang w:val="sr-Cyrl-RS"/>
        </w:rPr>
        <w:t>–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потрошача”, односно „ПРЕГЛЕД УСЛУГА И НАКНАДА за корисника платних услуга – предузетника и правно лице” исписан је задебљаним словима величине 16</w:t>
      </w:r>
      <w:r w:rsidR="00564E7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pt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. </w:t>
      </w:r>
    </w:p>
    <w:p w14:paraId="06D8589D" w14:textId="1797AC2B" w:rsidR="001D4A49" w:rsidRPr="00ED6F13" w:rsidRDefault="00130463" w:rsidP="004B334E">
      <w:pPr>
        <w:spacing w:after="240" w:line="240" w:lineRule="auto"/>
        <w:ind w:left="357"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Називи колона „УСЛУГА“ и „НАКНАДА“ исписани су задебљаним словима величине 14</w:t>
      </w:r>
      <w:r w:rsidR="00564E7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pt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.</w:t>
      </w:r>
    </w:p>
    <w:p w14:paraId="34CC2B65" w14:textId="30B4B002" w:rsidR="001D4A49" w:rsidRPr="00ED6F13" w:rsidRDefault="00130463" w:rsidP="004B334E">
      <w:pPr>
        <w:spacing w:after="240" w:line="240" w:lineRule="auto"/>
        <w:ind w:left="357"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Називи редова „Опште услуге повезане с платним рачуном“, „Безготовинске платне трансакције (изузев трансакција платним картицама)“, „Платне картице и готов новац“, „Прихватање платних инструмената“ и „Дозвољено прекорачење рачуна“ исписани су задебљаним словима величине 12</w:t>
      </w:r>
      <w:r w:rsidR="00564E7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pt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.</w:t>
      </w:r>
    </w:p>
    <w:p w14:paraId="17A9898D" w14:textId="1ED11405" w:rsidR="001D4A49" w:rsidRPr="00ED6F13" w:rsidRDefault="00130463" w:rsidP="004B334E">
      <w:pPr>
        <w:spacing w:after="240" w:line="240" w:lineRule="auto"/>
        <w:ind w:left="357"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Називи услуга с листе репрезентативних услуга наведени у оквиру одређених редова исписани су задебљаним словима величине 11</w:t>
      </w:r>
      <w:r w:rsidR="00564E7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pt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.</w:t>
      </w:r>
    </w:p>
    <w:p w14:paraId="5E0EA11D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Странице обрасца ПУН морају бити нумерисане.</w:t>
      </w:r>
    </w:p>
    <w:p w14:paraId="7247CCE5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На месту предвиђеном за лого пружаоца платних услуга уноси се лого величине која је иста као величина заједничког симбола. Пружалац платних услуга може приказати лого у боји само ако је и заједнички симбол у боји. </w:t>
      </w:r>
    </w:p>
    <w:p w14:paraId="478C5498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У елемент </w:t>
      </w:r>
      <w:r w:rsidRPr="00ED6F13">
        <w:rPr>
          <w:rFonts w:ascii="Arial" w:eastAsia="Times New Roman" w:hAnsi="Arial" w:cs="Times New Roman"/>
          <w:i/>
          <w:sz w:val="28"/>
          <w:szCs w:val="24"/>
          <w:lang w:val="sr-Cyrl-RS"/>
        </w:rPr>
        <w:t>Назив пружаоца платних услуга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уписује се пословно име пружаоца платних услуга који води платни рачун</w:t>
      </w:r>
      <w:r w:rsidR="00ED6F13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="00ED6F1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задебљано и с левим поравнањем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.</w:t>
      </w:r>
    </w:p>
    <w:p w14:paraId="6D96182B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У елемент </w:t>
      </w:r>
      <w:r w:rsidRPr="00ED6F13">
        <w:rPr>
          <w:rFonts w:ascii="Arial" w:eastAsia="Times New Roman" w:hAnsi="Arial" w:cs="Times New Roman"/>
          <w:i/>
          <w:sz w:val="28"/>
          <w:szCs w:val="24"/>
          <w:lang w:val="sr-Cyrl-RS"/>
        </w:rPr>
        <w:t>Назив платног рачуна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уписује се назив рачуна за који се израђује образац ПУН</w:t>
      </w:r>
      <w:r w:rsidR="00ED6F13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="00ED6F1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задебљано и с левим поравнањем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. Ако пружалац платних услуга нуди платни рачун као део пакета услуга, у овај елемент се на описани начин уписује назив тог пакета.</w:t>
      </w:r>
    </w:p>
    <w:p w14:paraId="322A185E" w14:textId="77777777" w:rsidR="001603F6" w:rsidRPr="00ED6F13" w:rsidRDefault="001603F6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lastRenderedPageBreak/>
        <w:t xml:space="preserve">У елемент </w:t>
      </w:r>
      <w:r w:rsidRPr="00ED6F13">
        <w:rPr>
          <w:rFonts w:ascii="Arial" w:eastAsia="Times New Roman" w:hAnsi="Arial" w:cs="Times New Roman"/>
          <w:i/>
          <w:sz w:val="28"/>
          <w:szCs w:val="24"/>
          <w:lang w:val="sr-Cyrl-RS"/>
        </w:rPr>
        <w:t>Корисник платних услуга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уписује се назив корисника платних услуга за које се израђује образац ПУН, у складу с класификацијом пружаоца платних услуга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, и то</w:t>
      </w:r>
      <w:r w:rsidR="00E5046B" w:rsidRPr="00E5046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E5046B" w:rsidRPr="00ED6F13">
        <w:rPr>
          <w:rFonts w:ascii="Arial" w:eastAsia="Times New Roman" w:hAnsi="Arial" w:cs="Times New Roman"/>
          <w:sz w:val="28"/>
          <w:szCs w:val="24"/>
          <w:lang w:val="sr-Cyrl-RS"/>
        </w:rPr>
        <w:t>задебљано и с левим поравнањем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.</w:t>
      </w:r>
    </w:p>
    <w:p w14:paraId="13F59376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У елемент </w:t>
      </w:r>
      <w:r w:rsidRPr="00ED6F13">
        <w:rPr>
          <w:rFonts w:ascii="Arial" w:eastAsia="Times New Roman" w:hAnsi="Arial" w:cs="Times New Roman"/>
          <w:i/>
          <w:sz w:val="28"/>
          <w:szCs w:val="24"/>
          <w:lang w:val="sr-Cyrl-RS"/>
        </w:rPr>
        <w:t>Датум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уписује се датум када је пружалац платних услуга последњи пут извршио измену овог обрасца ПУН</w:t>
      </w:r>
      <w:r w:rsidR="00E5046B" w:rsidRPr="00ED6F13">
        <w:rPr>
          <w:rFonts w:ascii="Arial" w:eastAsia="Times New Roman" w:hAnsi="Arial" w:cs="Times New Roman"/>
          <w:sz w:val="28"/>
          <w:szCs w:val="24"/>
          <w:lang w:val="sr-Cyrl-RS"/>
        </w:rPr>
        <w:t>, с левим поравнањем,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и то у формату ДД.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ММ.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ГГГГ. (нпр. 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„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22.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564E73" w:rsidRPr="00ED6F13">
        <w:rPr>
          <w:rFonts w:ascii="Arial" w:eastAsia="Times New Roman" w:hAnsi="Arial" w:cs="Times New Roman"/>
          <w:sz w:val="28"/>
          <w:szCs w:val="24"/>
          <w:lang w:val="sr-Cyrl-RS"/>
        </w:rPr>
        <w:t>0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2.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E5046B" w:rsidRPr="00ED6F13">
        <w:rPr>
          <w:rFonts w:ascii="Arial" w:eastAsia="Times New Roman" w:hAnsi="Arial" w:cs="Times New Roman"/>
          <w:sz w:val="28"/>
          <w:szCs w:val="24"/>
          <w:lang w:val="sr-Cyrl-RS"/>
        </w:rPr>
        <w:t>019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.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“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).</w:t>
      </w:r>
    </w:p>
    <w:p w14:paraId="4F26CA04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Уводне напомене у непромењеном тексту из обрасца ПУН уписују се 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тако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да се поштују следећи параметри: проред између редова 1,15, размак између пасуса 0 pt пре и 10 pt после текста.</w:t>
      </w:r>
    </w:p>
    <w:p w14:paraId="1E20E57B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Пружалац платних услуга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 месту предвиђеном за то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у оквиру уводних напомена уместо заграда уноси називе релевантних докумената у којима пружалац платних услуга пружа кориснику платних услуга потпуне информације и о накнадама које нису наведене у оквиру обрасца ПУН.</w:t>
      </w:r>
    </w:p>
    <w:p w14:paraId="6F1053FB" w14:textId="119F29E3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Накнаде се у обрасцу ПУН исказују у </w:t>
      </w:r>
      <w:r w:rsidR="002116B8">
        <w:rPr>
          <w:rFonts w:ascii="Arial" w:eastAsia="Times New Roman" w:hAnsi="Arial" w:cs="Times New Roman"/>
          <w:sz w:val="28"/>
          <w:szCs w:val="24"/>
          <w:lang w:val="sr-Latn-RS"/>
        </w:rPr>
        <w:t>RSD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, а у страној валути ако је тако уговорено између пружаоца платних услуга и корисника платних услуга, при чему је пружалац платних услуга обавезан да у фусноти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словима величине 9</w:t>
      </w:r>
      <w:r w:rsidR="00564E7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pt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, </w:t>
      </w:r>
      <w:r w:rsidR="00E5046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наведе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начин на који се врши прерачунавање у динаре при наплати те накнаде.</w:t>
      </w:r>
    </w:p>
    <w:p w14:paraId="6072BC24" w14:textId="55F9CEBE" w:rsidR="001D4A49" w:rsidRPr="00ED6F13" w:rsidRDefault="00130463" w:rsidP="004B334E">
      <w:pPr>
        <w:spacing w:after="240" w:line="240" w:lineRule="auto"/>
        <w:ind w:left="357"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Накнаде се могу изражавати у новчаном износу, укључујући </w:t>
      </w:r>
      <w:r w:rsidR="00DE4F49" w:rsidRPr="00ED6F13">
        <w:rPr>
          <w:rFonts w:ascii="Arial" w:eastAsia="Times New Roman" w:hAnsi="Arial" w:cs="Times New Roman"/>
          <w:sz w:val="28"/>
          <w:szCs w:val="24"/>
          <w:lang w:val="sr-Cyrl-RS"/>
        </w:rPr>
        <w:t>најнижи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и</w:t>
      </w:r>
      <w:r w:rsidR="00DE4F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највиши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износ и/или процентуално од износа те платне трансакције.</w:t>
      </w:r>
    </w:p>
    <w:p w14:paraId="2CA8A9F0" w14:textId="2CA03B18" w:rsidR="001D4A49" w:rsidRPr="00ED6F13" w:rsidRDefault="001D27EF" w:rsidP="004B334E">
      <w:pPr>
        <w:spacing w:after="240" w:line="240" w:lineRule="auto"/>
        <w:ind w:left="357"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Ако</w:t>
      </w:r>
      <w:r w:rsidR="00E5046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за неку услугу наведену у обрасцу ПУН не наплаћује накнаду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 xml:space="preserve"> –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E5046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пружалац платних услуга 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у колони „НАКНАДА“ </w:t>
      </w:r>
      <w:r w:rsidR="00E5046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наводи 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текст „</w:t>
      </w:r>
      <w:r w:rsidR="00A56C39">
        <w:rPr>
          <w:rFonts w:ascii="Arial" w:eastAsia="Times New Roman" w:hAnsi="Arial" w:cs="Times New Roman"/>
          <w:sz w:val="28"/>
          <w:szCs w:val="24"/>
          <w:lang w:val="sr-Cyrl-RS"/>
        </w:rPr>
        <w:t>Б</w:t>
      </w:r>
      <w:r w:rsidR="00A56C3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ез 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накнаде“ на месту предвиђеном за унос износа накнаде.</w:t>
      </w:r>
    </w:p>
    <w:p w14:paraId="5D8C3580" w14:textId="6B7D4170" w:rsidR="001D4A49" w:rsidRPr="00ED6F13" w:rsidRDefault="00130463" w:rsidP="004B334E">
      <w:pPr>
        <w:spacing w:after="240" w:line="240" w:lineRule="auto"/>
        <w:ind w:left="357"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Ако пружалац платних услуга поред своје накнаде наплаћује од корисника платних услуга и накнаде за друге субјекте (нпр. трошак инобанке), дужан је да у колони „НАКНАДА“ у реду испод своје накнаде наведе и ту накнаду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, и то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 следећи начин: „+ (назив накнаде)“, нпр. „+трошак инобанке“, с левим поравнањем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и одговарајућу накнаду с десним поравнањем.</w:t>
      </w:r>
    </w:p>
    <w:p w14:paraId="66ED5D1E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Ако пружалац платних услуга користи називе одређених производа (брендова), они се наводе у заградама одмах након назива услуге, типом и величином слова прописаним тач. 4. и 6. став 1. </w:t>
      </w:r>
      <w:r w:rsidR="00EE736A" w:rsidRPr="00ED6F13">
        <w:rPr>
          <w:rFonts w:ascii="Arial" w:eastAsia="Times New Roman" w:hAnsi="Arial" w:cs="Times New Roman"/>
          <w:sz w:val="28"/>
          <w:szCs w:val="24"/>
          <w:lang w:val="sr-Cyrl-RS"/>
        </w:rPr>
        <w:t>овог прилога.</w:t>
      </w:r>
    </w:p>
    <w:p w14:paraId="3B1A3E23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Ако посебно наплаћује различите врсте накнада на један или више начина наведених у наставку, а ти начини нису унапред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lastRenderedPageBreak/>
        <w:t>дефинисани обрасцем ПУН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 xml:space="preserve"> –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пружалац платних услуга </w:t>
      </w:r>
      <w:r w:rsidR="00E5046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у колони „НАКНАДА”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уписује опис те врсте накнаде с левим поравнањем, а накнаду с десним поравнањем, тако да се за одређену услугу у посебном реду уписује опис сваког случаја, начина или услова наплаћивања накнаде 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(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нпр. накнада за прво успостављање услуге и касније накнаде за извршење те услуге; накнада за исплату готовог новца коришћењем платне картице на банкомату пружаоца платних услуга који је издао картицу или неког другог пружаоца те услуге; поштовање најмањег или највећег износа трансакције за безготовински пренос новчаних средстава или подизање готовог новца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)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.</w:t>
      </w:r>
    </w:p>
    <w:p w14:paraId="78CE9050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Ако се накнаде наплаћују у зависности од комбинације неколико врста накнада, као што су нпр. накнаде које се разликују према начину и додатно према износу, пружалац платних услуга наводи и опис сваке додатне врсте накнаде, с левим поравнањем увучено удесно.</w:t>
      </w:r>
    </w:p>
    <w:p w14:paraId="278357D5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Ако се накнада наплаћује по трансакцији, 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она</w:t>
      </w:r>
      <w:r w:rsidR="00E5046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се наводи у колони „НАКНАДА”, с десним поравнањем, у реду у ком је наведена услуга на коју се накнада односи. </w:t>
      </w:r>
    </w:p>
    <w:p w14:paraId="74CD4923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Ако се накнада наплаћује једнократно (нпр. накнада за отварање платног рачуна, накнада за успостављање услуге) у колони „НАКНАДА“ наводи се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 xml:space="preserve"> текст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„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>Ј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еднократно“</w:t>
      </w:r>
      <w:r w:rsidR="00EE736A" w:rsidRPr="00ED6F13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с десним поравнањем, након чега се у наставку уноси одговарајућа накнада у реду у ком је наведена услуга на коју се накнада односи.</w:t>
      </w:r>
    </w:p>
    <w:p w14:paraId="027BBDDA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Ако се накнада наплаћује периодично, учесталост наплаћивања накнаде наводи се у колони „НАКНАДА</w:t>
      </w:r>
      <w:r w:rsidR="00E5046B">
        <w:rPr>
          <w:rFonts w:ascii="Arial" w:eastAsia="Times New Roman" w:hAnsi="Arial" w:cs="Times New Roman"/>
          <w:sz w:val="28"/>
          <w:szCs w:val="24"/>
          <w:lang w:val="sr-Cyrl-RS"/>
        </w:rPr>
        <w:t>“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(нпр. „</w:t>
      </w:r>
      <w:r w:rsidR="00A56C39">
        <w:rPr>
          <w:rFonts w:ascii="Arial" w:eastAsia="Times New Roman" w:hAnsi="Arial" w:cs="Times New Roman"/>
          <w:sz w:val="28"/>
          <w:szCs w:val="24"/>
          <w:lang w:val="sr-Cyrl-RS"/>
        </w:rPr>
        <w:t>М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есечно“), с десним поравнањем, након чега се у наставку уноси одговарајућа накнада за тај период, у реду у ком је наведена услуга на коју се накнада односи.</w:t>
      </w:r>
    </w:p>
    <w:p w14:paraId="602F0A84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Ако се накнада у обрасцу ПУН разликује само за услугу вођења платног рачуна за различите категорије потрошача, односно предузетника и правних лица, док су накнаде за све остале услуге исте, а пружалац платних услуга се определио да изради један образац ПУН у складу с тачком 8. ове одлуке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 xml:space="preserve"> –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у колони „НАКНАДА“ за услугу „Вођење платног рачуна“ посебно се наводи накнада за сваку од категорија корисника платних услуга за услугу вођења рачуна, 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 xml:space="preserve">и то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тако што се у реду након основне накнаде за вођење платног рачуна с левим поравнањем уноси категорија корисника платних услуга за коју се та накнада разликује и учесталост наплате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lastRenderedPageBreak/>
        <w:t>накнаде у реду непосредно испод, након чега се у наставку уноси одговарајућа накнада за тај период, с десним поравнањем.</w:t>
      </w:r>
    </w:p>
    <w:p w14:paraId="07B35E3F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Ако пружалац платних услуга не нуди једну или више услуга с листе репрезентативних услуга, односно ако се услуга не нуди за тај рачун и пакет услуга, употребљава се израз „</w:t>
      </w:r>
      <w:r w:rsidR="00A56C39">
        <w:rPr>
          <w:rFonts w:ascii="Arial" w:eastAsia="Times New Roman" w:hAnsi="Arial" w:cs="Times New Roman"/>
          <w:sz w:val="28"/>
          <w:szCs w:val="24"/>
          <w:lang w:val="sr-Cyrl-RS"/>
        </w:rPr>
        <w:t>У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слуга није доступна</w:t>
      </w:r>
      <w:r w:rsidR="00091B5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у оквиру овог платног рачуна</w:t>
      </w:r>
      <w:r w:rsidR="00570D56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(пакета)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“. </w:t>
      </w:r>
    </w:p>
    <w:p w14:paraId="07335DC6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Ако се накнада за безготовински пренос који се извршава коришћењем услуге електронског банкарства разликује од накнаде за безготовински пренос који се извршава коришћењем услуге мобилног банкарства, пружалац платних услуга у пољу предвиђеном за накнаду за безготовински пренос који се извршава коришћењем услуге електронског и мобилног банкарства наводи прво накнаду која се односи на електронско банкарство, а затим накнаду која се </w:t>
      </w:r>
      <w:r w:rsidR="00F0148B" w:rsidRPr="00ED6F13">
        <w:rPr>
          <w:rFonts w:ascii="Arial" w:eastAsia="Times New Roman" w:hAnsi="Arial" w:cs="Times New Roman"/>
          <w:sz w:val="28"/>
          <w:szCs w:val="24"/>
          <w:lang w:val="sr-Cyrl-RS"/>
        </w:rPr>
        <w:t>однос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>и</w:t>
      </w:r>
      <w:r w:rsidR="00F0148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на мобилно банкарство, с десним поравнањем, а опис услуге с левим поравнањем. 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>Ако</w:t>
      </w:r>
      <w:r w:rsidR="00F0148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се ов</w:t>
      </w:r>
      <w:r w:rsidR="004C16E3" w:rsidRPr="00ED6F13">
        <w:rPr>
          <w:rFonts w:ascii="Arial" w:eastAsia="Times New Roman" w:hAnsi="Arial" w:cs="Times New Roman"/>
          <w:sz w:val="28"/>
          <w:szCs w:val="24"/>
          <w:lang w:val="sr-Cyrl-RS"/>
        </w:rPr>
        <w:t>е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накнаде не разликују, пружалац платних услуга уноси накнаду само једном, с десним поравнањем.</w:t>
      </w:r>
    </w:p>
    <w:p w14:paraId="58A121F6" w14:textId="3A5F7788" w:rsidR="004C16E3" w:rsidRPr="00ED6F13" w:rsidRDefault="00130463" w:rsidP="0080613E">
      <w:pPr>
        <w:spacing w:after="240" w:line="240" w:lineRule="auto"/>
        <w:ind w:left="357" w:firstLine="357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  <w:r>
        <w:rPr>
          <w:rFonts w:ascii="Arial" w:eastAsia="Times New Roman" w:hAnsi="Arial" w:cs="Times New Roman"/>
          <w:sz w:val="28"/>
          <w:szCs w:val="24"/>
        </w:rPr>
        <w:tab/>
      </w:r>
      <w:r w:rsidR="004C16E3" w:rsidRPr="00ED6F13">
        <w:rPr>
          <w:rFonts w:ascii="Arial" w:eastAsia="Times New Roman" w:hAnsi="Arial" w:cs="Times New Roman"/>
          <w:sz w:val="28"/>
          <w:szCs w:val="24"/>
          <w:lang w:val="sr-Cyrl-RS"/>
        </w:rPr>
        <w:t>Ако пружалац платних услуга</w:t>
      </w:r>
      <w:r w:rsidR="00702E06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не омогућава</w:t>
      </w:r>
      <w:r w:rsidR="004C16E3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5D70B7" w:rsidRPr="00ED6F13">
        <w:rPr>
          <w:rFonts w:ascii="Arial" w:eastAsia="Times New Roman" w:hAnsi="Arial" w:cs="Times New Roman"/>
          <w:sz w:val="28"/>
          <w:szCs w:val="24"/>
          <w:lang w:val="sr-Cyrl-RS"/>
        </w:rPr>
        <w:t>услугу</w:t>
      </w:r>
      <w:r w:rsidR="00702E06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143828" w:rsidRPr="00ED6F13">
        <w:rPr>
          <w:rFonts w:ascii="Arial" w:eastAsia="Times New Roman" w:hAnsi="Arial" w:cs="Times New Roman"/>
          <w:sz w:val="28"/>
          <w:szCs w:val="24"/>
          <w:lang w:val="sr-Cyrl-RS"/>
        </w:rPr>
        <w:t>електронског или мобилног банкарства</w:t>
      </w:r>
      <w:r w:rsidR="005D70B7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, у пољу предвиђеном за накнаду за безготовински пренос који се извршава коришћењем услуге електронског и мобилног банкарства, </w:t>
      </w:r>
      <w:r w:rsidR="00817601" w:rsidRPr="00ED6F13">
        <w:rPr>
          <w:rFonts w:ascii="Arial" w:eastAsia="Times New Roman" w:hAnsi="Arial" w:cs="Times New Roman"/>
          <w:sz w:val="28"/>
          <w:szCs w:val="24"/>
          <w:lang w:val="sr-Cyrl-RS"/>
        </w:rPr>
        <w:t>за услугу коју не нуди</w:t>
      </w:r>
      <w:r w:rsidR="005D70B7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наводи </w:t>
      </w:r>
      <w:r w:rsidR="00817601" w:rsidRPr="00ED6F13">
        <w:rPr>
          <w:rFonts w:ascii="Arial" w:eastAsia="Times New Roman" w:hAnsi="Arial" w:cs="Times New Roman"/>
          <w:sz w:val="28"/>
          <w:szCs w:val="24"/>
          <w:lang w:val="sr-Cyrl-RS"/>
        </w:rPr>
        <w:t>„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>У</w:t>
      </w:r>
      <w:r w:rsidR="00817601" w:rsidRPr="00ED6F13">
        <w:rPr>
          <w:rFonts w:ascii="Arial" w:eastAsia="Times New Roman" w:hAnsi="Arial" w:cs="Times New Roman"/>
          <w:sz w:val="28"/>
          <w:szCs w:val="24"/>
          <w:lang w:val="sr-Cyrl-RS"/>
        </w:rPr>
        <w:t>слуга није доступна у оквиру овог платног рачуна (пакета)“.</w:t>
      </w:r>
    </w:p>
    <w:p w14:paraId="38A0BA93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Ако се пакет услуга наплаћује као део накнаде наведене под поднасловом „Опште услуге 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>повезане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с платним рачуном“, пружалац платних услуга у реду под називом „Укључује пакет услуга који се састоји од:“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F0148B" w:rsidRPr="00ED6F13">
        <w:rPr>
          <w:rFonts w:ascii="Arial" w:eastAsia="Times New Roman" w:hAnsi="Arial" w:cs="Times New Roman"/>
          <w:sz w:val="28"/>
          <w:szCs w:val="24"/>
          <w:lang w:val="sr-Cyrl-RS"/>
        </w:rPr>
        <w:t>наводи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списак свих услуга укључених у пакет, независно од тога да ли се налазе на листи репрезентативних услуга, с тим што се прво наводе услуге с листе репрезентативних услуга, потом остале услуге повезане с платним рачуном, а на крају други производи или услуге које нису повезане с платним рачуном 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>ако</w:t>
      </w:r>
      <w:r w:rsidR="00F0148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се овај платни рачун не може отворити одвојено од тих производа или услуга (нпр. осигурање).</w:t>
      </w:r>
    </w:p>
    <w:p w14:paraId="09227BF0" w14:textId="77777777" w:rsidR="001D4A49" w:rsidRPr="00ED6F13" w:rsidRDefault="001D4A49" w:rsidP="004B334E">
      <w:pPr>
        <w:pStyle w:val="ListParagraph"/>
        <w:numPr>
          <w:ilvl w:val="0"/>
          <w:numId w:val="1"/>
        </w:numPr>
        <w:spacing w:after="240" w:line="240" w:lineRule="auto"/>
        <w:ind w:left="357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>Пружалац платних услуга у одговарајућим пољима предвиђеним за услуге с листе репрезентативних услуга наводи накнаде за те услуге које наплаћује преко количине обухваћене пакетом услуга из тачке 2</w:t>
      </w:r>
      <w:r w:rsidR="00C2760F" w:rsidRPr="00ED6F13">
        <w:rPr>
          <w:rFonts w:ascii="Arial" w:eastAsia="Times New Roman" w:hAnsi="Arial" w:cs="Times New Roman"/>
          <w:sz w:val="28"/>
          <w:szCs w:val="24"/>
          <w:lang w:val="sr-Cyrl-RS"/>
        </w:rPr>
        <w:t>5</w:t>
      </w:r>
      <w:r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. овог прилога. </w:t>
      </w:r>
    </w:p>
    <w:p w14:paraId="0AF95432" w14:textId="7B79726C" w:rsidR="001D4A49" w:rsidRPr="00ED6F13" w:rsidRDefault="00130463" w:rsidP="004B334E">
      <w:pPr>
        <w:spacing w:after="240" w:line="240" w:lineRule="auto"/>
        <w:ind w:left="357"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Ако за количину обухваћену пакетом услуга из тачке 2</w:t>
      </w:r>
      <w:r w:rsidR="00C2760F" w:rsidRPr="00ED6F13">
        <w:rPr>
          <w:rFonts w:ascii="Arial" w:eastAsia="Times New Roman" w:hAnsi="Arial" w:cs="Times New Roman"/>
          <w:sz w:val="28"/>
          <w:szCs w:val="24"/>
          <w:lang w:val="sr-Cyrl-RS"/>
        </w:rPr>
        <w:t>5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. овог прилога наплаћује накнаде које се разликују од оних наведених у ставу 1. ове тачке</w:t>
      </w:r>
      <w:r w:rsidR="00F0148B">
        <w:rPr>
          <w:rFonts w:ascii="Arial" w:eastAsia="Times New Roman" w:hAnsi="Arial" w:cs="Times New Roman"/>
          <w:sz w:val="28"/>
          <w:szCs w:val="24"/>
          <w:lang w:val="sr-Cyrl-RS"/>
        </w:rPr>
        <w:t xml:space="preserve"> –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F0148B" w:rsidRPr="00ED6F13">
        <w:rPr>
          <w:rFonts w:ascii="Arial" w:eastAsia="Times New Roman" w:hAnsi="Arial" w:cs="Times New Roman"/>
          <w:sz w:val="28"/>
          <w:szCs w:val="24"/>
          <w:lang w:val="sr-Cyrl-RS"/>
        </w:rPr>
        <w:t xml:space="preserve">пружалац платних услуга </w:t>
      </w:r>
      <w:r w:rsidR="001D4A49" w:rsidRPr="00ED6F13">
        <w:rPr>
          <w:rFonts w:ascii="Arial" w:eastAsia="Times New Roman" w:hAnsi="Arial" w:cs="Times New Roman"/>
          <w:sz w:val="28"/>
          <w:szCs w:val="24"/>
          <w:lang w:val="sr-Cyrl-RS"/>
        </w:rPr>
        <w:t>у одговарајућим пољима предвиђеним за те услуге прво наводи ове накнаде.</w:t>
      </w:r>
    </w:p>
    <w:sectPr w:rsidR="001D4A49" w:rsidRPr="00ED6F13" w:rsidSect="00123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7A19" w14:textId="77777777" w:rsidR="00867FD9" w:rsidRDefault="00867FD9" w:rsidP="001D4A49">
      <w:pPr>
        <w:spacing w:after="0" w:line="240" w:lineRule="auto"/>
      </w:pPr>
      <w:r>
        <w:separator/>
      </w:r>
    </w:p>
  </w:endnote>
  <w:endnote w:type="continuationSeparator" w:id="0">
    <w:p w14:paraId="71B4090E" w14:textId="77777777" w:rsidR="00867FD9" w:rsidRDefault="00867FD9" w:rsidP="001D4A49">
      <w:pPr>
        <w:spacing w:after="0" w:line="240" w:lineRule="auto"/>
      </w:pPr>
      <w:r>
        <w:continuationSeparator/>
      </w:r>
    </w:p>
  </w:endnote>
  <w:endnote w:type="continuationNotice" w:id="1">
    <w:p w14:paraId="1241F18D" w14:textId="77777777" w:rsidR="00867FD9" w:rsidRDefault="00867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D189" w14:textId="77777777" w:rsidR="009D4628" w:rsidRDefault="009D4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E084" w14:textId="77777777" w:rsidR="009D4628" w:rsidRDefault="009D4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E2D9" w14:textId="77777777" w:rsidR="009D4628" w:rsidRDefault="009D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B82A" w14:textId="77777777" w:rsidR="00867FD9" w:rsidRDefault="00867FD9" w:rsidP="001D4A49">
      <w:pPr>
        <w:spacing w:after="0" w:line="240" w:lineRule="auto"/>
      </w:pPr>
      <w:r>
        <w:separator/>
      </w:r>
    </w:p>
  </w:footnote>
  <w:footnote w:type="continuationSeparator" w:id="0">
    <w:p w14:paraId="3503BF60" w14:textId="77777777" w:rsidR="00867FD9" w:rsidRDefault="00867FD9" w:rsidP="001D4A49">
      <w:pPr>
        <w:spacing w:after="0" w:line="240" w:lineRule="auto"/>
      </w:pPr>
      <w:r>
        <w:continuationSeparator/>
      </w:r>
    </w:p>
  </w:footnote>
  <w:footnote w:type="continuationNotice" w:id="1">
    <w:p w14:paraId="61B2BAA1" w14:textId="77777777" w:rsidR="00867FD9" w:rsidRDefault="00867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FDCC" w14:textId="77777777" w:rsidR="009D4628" w:rsidRDefault="009D4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8269428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04355" w14:textId="42DDE0DE" w:rsidR="00316C68" w:rsidRPr="00316C68" w:rsidRDefault="00316C68">
        <w:pPr>
          <w:pStyle w:val="Header"/>
          <w:jc w:val="center"/>
          <w:rPr>
            <w:rFonts w:ascii="Arial" w:hAnsi="Arial" w:cs="Arial"/>
            <w:sz w:val="24"/>
          </w:rPr>
        </w:pPr>
        <w:r w:rsidRPr="00316C68">
          <w:rPr>
            <w:rFonts w:ascii="Arial" w:hAnsi="Arial" w:cs="Arial"/>
            <w:sz w:val="24"/>
          </w:rPr>
          <w:fldChar w:fldCharType="begin"/>
        </w:r>
        <w:r w:rsidRPr="00316C68">
          <w:rPr>
            <w:rFonts w:ascii="Arial" w:hAnsi="Arial" w:cs="Arial"/>
            <w:sz w:val="24"/>
          </w:rPr>
          <w:instrText xml:space="preserve"> PAGE   \* MERGEFORMAT </w:instrText>
        </w:r>
        <w:r w:rsidRPr="00316C68">
          <w:rPr>
            <w:rFonts w:ascii="Arial" w:hAnsi="Arial" w:cs="Arial"/>
            <w:sz w:val="24"/>
          </w:rPr>
          <w:fldChar w:fldCharType="separate"/>
        </w:r>
        <w:r w:rsidR="009D4628">
          <w:rPr>
            <w:rFonts w:ascii="Arial" w:hAnsi="Arial" w:cs="Arial"/>
            <w:noProof/>
            <w:sz w:val="24"/>
          </w:rPr>
          <w:t>5</w:t>
        </w:r>
        <w:r w:rsidRPr="00316C68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973ED1E" w14:textId="77777777" w:rsidR="001D4A49" w:rsidRPr="001D4A49" w:rsidRDefault="001D4A49" w:rsidP="001D4A49">
    <w:pPr>
      <w:pStyle w:val="Header"/>
      <w:jc w:val="right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BB38" w14:textId="24BDDD27" w:rsidR="001D4A49" w:rsidRPr="00317379" w:rsidRDefault="00317379" w:rsidP="00317379">
    <w:pPr>
      <w:pStyle w:val="Header"/>
      <w:rPr>
        <w:rFonts w:ascii="Arial" w:hAnsi="Arial" w:cs="Arial"/>
        <w:sz w:val="28"/>
        <w:szCs w:val="28"/>
        <w:lang w:val="sr-Cyrl-RS"/>
      </w:rPr>
    </w:pPr>
    <w:r w:rsidRPr="002D62E1">
      <w:rPr>
        <w:rFonts w:ascii="Arial" w:hAnsi="Arial" w:cs="Arial"/>
        <w:sz w:val="28"/>
        <w:szCs w:val="28"/>
      </w:rPr>
      <w:ptab w:relativeTo="margin" w:alignment="center" w:leader="none"/>
    </w:r>
    <w:r w:rsidRPr="002D62E1">
      <w:rPr>
        <w:rFonts w:ascii="Arial" w:hAnsi="Arial" w:cs="Arial"/>
        <w:sz w:val="28"/>
        <w:szCs w:val="28"/>
      </w:rPr>
      <w:ptab w:relativeTo="margin" w:alignment="right" w:leader="none"/>
    </w:r>
    <w:r>
      <w:rPr>
        <w:rFonts w:ascii="Arial" w:hAnsi="Arial" w:cs="Arial"/>
        <w:sz w:val="28"/>
        <w:szCs w:val="28"/>
        <w:lang w:val="sr-Cyrl-RS"/>
      </w:rPr>
      <w:t>Прилог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4E47"/>
    <w:multiLevelType w:val="hybridMultilevel"/>
    <w:tmpl w:val="22F4394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49"/>
    <w:rsid w:val="000721C8"/>
    <w:rsid w:val="00091B53"/>
    <w:rsid w:val="00096DFD"/>
    <w:rsid w:val="000A54F2"/>
    <w:rsid w:val="000F784D"/>
    <w:rsid w:val="0010539D"/>
    <w:rsid w:val="00123AFE"/>
    <w:rsid w:val="00130463"/>
    <w:rsid w:val="00143828"/>
    <w:rsid w:val="00146CD2"/>
    <w:rsid w:val="001603F6"/>
    <w:rsid w:val="001B1563"/>
    <w:rsid w:val="001D27EF"/>
    <w:rsid w:val="001D4A49"/>
    <w:rsid w:val="002116B8"/>
    <w:rsid w:val="0022484C"/>
    <w:rsid w:val="002375AF"/>
    <w:rsid w:val="00316C68"/>
    <w:rsid w:val="00317379"/>
    <w:rsid w:val="003873C4"/>
    <w:rsid w:val="00422E1D"/>
    <w:rsid w:val="004B334E"/>
    <w:rsid w:val="004C16E3"/>
    <w:rsid w:val="004C5781"/>
    <w:rsid w:val="004E5E01"/>
    <w:rsid w:val="00554BA0"/>
    <w:rsid w:val="00564E73"/>
    <w:rsid w:val="00570D56"/>
    <w:rsid w:val="005B0F6C"/>
    <w:rsid w:val="005D70B7"/>
    <w:rsid w:val="005E4CDA"/>
    <w:rsid w:val="006254D8"/>
    <w:rsid w:val="0065647B"/>
    <w:rsid w:val="00657687"/>
    <w:rsid w:val="00682D97"/>
    <w:rsid w:val="006B439A"/>
    <w:rsid w:val="006E1603"/>
    <w:rsid w:val="00702E06"/>
    <w:rsid w:val="00764B4D"/>
    <w:rsid w:val="0080613E"/>
    <w:rsid w:val="00817601"/>
    <w:rsid w:val="0082007F"/>
    <w:rsid w:val="0086095B"/>
    <w:rsid w:val="00867FD9"/>
    <w:rsid w:val="0088324B"/>
    <w:rsid w:val="008A554E"/>
    <w:rsid w:val="008D3B30"/>
    <w:rsid w:val="009454F2"/>
    <w:rsid w:val="00992917"/>
    <w:rsid w:val="009D4628"/>
    <w:rsid w:val="009F6FC5"/>
    <w:rsid w:val="00A464F9"/>
    <w:rsid w:val="00A56C39"/>
    <w:rsid w:val="00AA1C00"/>
    <w:rsid w:val="00AB004A"/>
    <w:rsid w:val="00AB13D4"/>
    <w:rsid w:val="00AF6C5E"/>
    <w:rsid w:val="00B12B5D"/>
    <w:rsid w:val="00B3020C"/>
    <w:rsid w:val="00B700C0"/>
    <w:rsid w:val="00B87412"/>
    <w:rsid w:val="00BC34BA"/>
    <w:rsid w:val="00BE0786"/>
    <w:rsid w:val="00C2760F"/>
    <w:rsid w:val="00C825BF"/>
    <w:rsid w:val="00CB0475"/>
    <w:rsid w:val="00CB310F"/>
    <w:rsid w:val="00CC416C"/>
    <w:rsid w:val="00CD5328"/>
    <w:rsid w:val="00DD27B5"/>
    <w:rsid w:val="00DE4F49"/>
    <w:rsid w:val="00E03B56"/>
    <w:rsid w:val="00E15AA3"/>
    <w:rsid w:val="00E5046B"/>
    <w:rsid w:val="00ED6F13"/>
    <w:rsid w:val="00EE736A"/>
    <w:rsid w:val="00F0148B"/>
    <w:rsid w:val="00F35927"/>
    <w:rsid w:val="00FC35FC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49"/>
  </w:style>
  <w:style w:type="paragraph" w:styleId="Footer">
    <w:name w:val="footer"/>
    <w:basedOn w:val="Normal"/>
    <w:link w:val="FooterChar"/>
    <w:uiPriority w:val="99"/>
    <w:unhideWhenUsed/>
    <w:rsid w:val="001D4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49"/>
  </w:style>
  <w:style w:type="character" w:styleId="CommentReference">
    <w:name w:val="annotation reference"/>
    <w:basedOn w:val="DefaultParagraphFont"/>
    <w:uiPriority w:val="99"/>
    <w:semiHidden/>
    <w:unhideWhenUsed/>
    <w:rsid w:val="0065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8906</Characters>
  <Application>Microsoft Office Word</Application>
  <DocSecurity>0</DocSecurity>
  <Lines>189</Lines>
  <Paragraphs>46</Paragraphs>
  <ScaleCrop>false</ScaleCrop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2018-12-17T17:08:00Z</dcterms:created>
  <dcterms:modified xsi:type="dcterms:W3CDTF">2018-12-17T17:08:00Z</dcterms:modified>
</cp:coreProperties>
</file>